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372A0" w14:textId="752D811D" w:rsidR="00561580" w:rsidRDefault="00000000">
      <w:pPr>
        <w:tabs>
          <w:tab w:val="left" w:pos="3756"/>
        </w:tabs>
      </w:pPr>
      <w:r>
        <w:t xml:space="preserve"> </w:t>
      </w:r>
      <w:r>
        <w:tab/>
      </w:r>
    </w:p>
    <w:p w14:paraId="03314F6D" w14:textId="77777777" w:rsidR="00561580" w:rsidRPr="009D3C9C" w:rsidRDefault="00000000" w:rsidP="004E1699">
      <w:pPr>
        <w:pStyle w:val="Title"/>
        <w:jc w:val="center"/>
        <w:rPr>
          <w:sz w:val="40"/>
          <w:szCs w:val="40"/>
        </w:rPr>
      </w:pPr>
      <w:r w:rsidRPr="009D3C9C">
        <w:rPr>
          <w:sz w:val="40"/>
          <w:szCs w:val="40"/>
        </w:rPr>
        <w:t>SmartD Clean Power VFD</w:t>
      </w:r>
    </w:p>
    <w:p w14:paraId="15C0C046" w14:textId="77777777" w:rsidR="00561580" w:rsidRPr="009D3C9C" w:rsidRDefault="00000000" w:rsidP="004E1699">
      <w:pPr>
        <w:pStyle w:val="Title"/>
        <w:jc w:val="center"/>
        <w:rPr>
          <w:sz w:val="40"/>
          <w:szCs w:val="40"/>
        </w:rPr>
      </w:pPr>
      <w:r w:rsidRPr="009D3C9C">
        <w:rPr>
          <w:sz w:val="40"/>
          <w:szCs w:val="40"/>
        </w:rPr>
        <w:t>Spécifications pour ingénierie-conseil</w:t>
      </w:r>
    </w:p>
    <w:p w14:paraId="1E9CEF56" w14:textId="77777777" w:rsidR="00561580" w:rsidRDefault="00561580"/>
    <w:sdt>
      <w:sdtPr>
        <w:rPr>
          <w:rFonts w:ascii="Arial" w:eastAsia="Arial" w:hAnsi="Arial" w:cs="Arial"/>
        </w:rPr>
        <w:id w:val="1871720815"/>
        <w:docPartObj>
          <w:docPartGallery w:val="Table of Contents"/>
          <w:docPartUnique/>
        </w:docPartObj>
      </w:sdtPr>
      <w:sdtContent>
        <w:p w14:paraId="1D5CFA50" w14:textId="637DA993" w:rsidR="00CF4138" w:rsidRDefault="00000000">
          <w:pPr>
            <w:pStyle w:val="TOC2"/>
            <w:rPr>
              <w:rFonts w:cstheme="minorBidi"/>
              <w:noProof/>
              <w:kern w:val="2"/>
              <w:sz w:val="24"/>
              <w:szCs w:val="24"/>
              <w14:ligatures w14:val="standardContextual"/>
            </w:rPr>
          </w:pPr>
          <w:r>
            <w:fldChar w:fldCharType="begin"/>
          </w:r>
          <w:r w:rsidRPr="004E1699">
            <w:instrText xml:space="preserve"> TOC \h \u \z \t "Heading 1,1,Heading 2,2,Heading 3,3,Heading 4,4,"</w:instrText>
          </w:r>
          <w:r>
            <w:fldChar w:fldCharType="separate"/>
          </w:r>
          <w:hyperlink w:anchor="_Toc235607235" w:history="1">
            <w:r w:rsidR="00CF4138" w:rsidRPr="00304F67">
              <w:rPr>
                <w:rStyle w:val="Hyperlink"/>
              </w:rPr>
              <w:t>PARTIE 1 – GÉNÉRALITÉS</w:t>
            </w:r>
            <w:r w:rsidR="00CF4138">
              <w:rPr>
                <w:noProof/>
                <w:webHidden/>
              </w:rPr>
              <w:tab/>
            </w:r>
            <w:r w:rsidR="00CF4138">
              <w:rPr>
                <w:noProof/>
                <w:webHidden/>
              </w:rPr>
              <w:fldChar w:fldCharType="begin"/>
            </w:r>
            <w:r w:rsidR="00CF4138">
              <w:rPr>
                <w:noProof/>
                <w:webHidden/>
              </w:rPr>
              <w:instrText xml:space="preserve"> PAGEREF _Toc235607235 \h </w:instrText>
            </w:r>
            <w:r w:rsidR="00CF4138">
              <w:rPr>
                <w:noProof/>
                <w:webHidden/>
              </w:rPr>
            </w:r>
            <w:r w:rsidR="00CF4138">
              <w:rPr>
                <w:noProof/>
                <w:webHidden/>
              </w:rPr>
              <w:fldChar w:fldCharType="separate"/>
            </w:r>
            <w:r w:rsidR="006148D8">
              <w:rPr>
                <w:noProof/>
                <w:webHidden/>
              </w:rPr>
              <w:t>3</w:t>
            </w:r>
            <w:r w:rsidR="00CF4138">
              <w:rPr>
                <w:noProof/>
                <w:webHidden/>
              </w:rPr>
              <w:fldChar w:fldCharType="end"/>
            </w:r>
          </w:hyperlink>
        </w:p>
        <w:p w14:paraId="12FB89BC" w14:textId="10411161" w:rsidR="00CF4138" w:rsidRDefault="00CF4138">
          <w:pPr>
            <w:pStyle w:val="TOC3"/>
            <w:rPr>
              <w:rFonts w:cstheme="minorBidi"/>
              <w:noProof/>
              <w:kern w:val="2"/>
              <w:sz w:val="24"/>
              <w:szCs w:val="24"/>
              <w14:ligatures w14:val="standardContextual"/>
            </w:rPr>
          </w:pPr>
          <w:hyperlink w:anchor="_Toc235607236" w:history="1">
            <w:r w:rsidRPr="00304F67">
              <w:rPr>
                <w:rStyle w:val="Hyperlink"/>
              </w:rPr>
              <w:t>1.1 Portée</w:t>
            </w:r>
            <w:r>
              <w:rPr>
                <w:noProof/>
                <w:webHidden/>
              </w:rPr>
              <w:tab/>
            </w:r>
            <w:r>
              <w:rPr>
                <w:noProof/>
                <w:webHidden/>
              </w:rPr>
              <w:fldChar w:fldCharType="begin"/>
            </w:r>
            <w:r>
              <w:rPr>
                <w:noProof/>
                <w:webHidden/>
              </w:rPr>
              <w:instrText xml:space="preserve"> PAGEREF _Toc235607236 \h </w:instrText>
            </w:r>
            <w:r>
              <w:rPr>
                <w:noProof/>
                <w:webHidden/>
              </w:rPr>
            </w:r>
            <w:r>
              <w:rPr>
                <w:noProof/>
                <w:webHidden/>
              </w:rPr>
              <w:fldChar w:fldCharType="separate"/>
            </w:r>
            <w:r w:rsidR="006148D8">
              <w:rPr>
                <w:noProof/>
                <w:webHidden/>
              </w:rPr>
              <w:t>3</w:t>
            </w:r>
            <w:r>
              <w:rPr>
                <w:noProof/>
                <w:webHidden/>
              </w:rPr>
              <w:fldChar w:fldCharType="end"/>
            </w:r>
          </w:hyperlink>
        </w:p>
        <w:p w14:paraId="56DFAD63" w14:textId="473D23CE" w:rsidR="00CF4138" w:rsidRDefault="00CF4138">
          <w:pPr>
            <w:pStyle w:val="TOC3"/>
            <w:rPr>
              <w:rFonts w:cstheme="minorBidi"/>
              <w:noProof/>
              <w:kern w:val="2"/>
              <w:sz w:val="24"/>
              <w:szCs w:val="24"/>
              <w14:ligatures w14:val="standardContextual"/>
            </w:rPr>
          </w:pPr>
          <w:hyperlink w:anchor="_Toc235607237" w:history="1">
            <w:r w:rsidRPr="00304F67">
              <w:rPr>
                <w:rStyle w:val="Hyperlink"/>
              </w:rPr>
              <w:t>1.2 Règles et normes applicables</w:t>
            </w:r>
            <w:r>
              <w:rPr>
                <w:noProof/>
                <w:webHidden/>
              </w:rPr>
              <w:tab/>
            </w:r>
            <w:r>
              <w:rPr>
                <w:noProof/>
                <w:webHidden/>
              </w:rPr>
              <w:fldChar w:fldCharType="begin"/>
            </w:r>
            <w:r>
              <w:rPr>
                <w:noProof/>
                <w:webHidden/>
              </w:rPr>
              <w:instrText xml:space="preserve"> PAGEREF _Toc235607237 \h </w:instrText>
            </w:r>
            <w:r>
              <w:rPr>
                <w:noProof/>
                <w:webHidden/>
              </w:rPr>
            </w:r>
            <w:r>
              <w:rPr>
                <w:noProof/>
                <w:webHidden/>
              </w:rPr>
              <w:fldChar w:fldCharType="separate"/>
            </w:r>
            <w:r w:rsidR="006148D8">
              <w:rPr>
                <w:noProof/>
                <w:webHidden/>
              </w:rPr>
              <w:t>3</w:t>
            </w:r>
            <w:r>
              <w:rPr>
                <w:noProof/>
                <w:webHidden/>
              </w:rPr>
              <w:fldChar w:fldCharType="end"/>
            </w:r>
          </w:hyperlink>
        </w:p>
        <w:p w14:paraId="5E0BA2BA" w14:textId="4A811617" w:rsidR="00CF4138" w:rsidRDefault="00CF4138">
          <w:pPr>
            <w:pStyle w:val="TOC3"/>
            <w:rPr>
              <w:rFonts w:cstheme="minorBidi"/>
              <w:noProof/>
              <w:kern w:val="2"/>
              <w:sz w:val="24"/>
              <w:szCs w:val="24"/>
              <w14:ligatures w14:val="standardContextual"/>
            </w:rPr>
          </w:pPr>
          <w:hyperlink w:anchor="_Toc235607238" w:history="1">
            <w:r w:rsidRPr="00304F67">
              <w:rPr>
                <w:rStyle w:val="Hyperlink"/>
              </w:rPr>
              <w:t>1.3 Qualifications du fabricant</w:t>
            </w:r>
            <w:r>
              <w:rPr>
                <w:noProof/>
                <w:webHidden/>
              </w:rPr>
              <w:tab/>
            </w:r>
            <w:r>
              <w:rPr>
                <w:noProof/>
                <w:webHidden/>
              </w:rPr>
              <w:fldChar w:fldCharType="begin"/>
            </w:r>
            <w:r>
              <w:rPr>
                <w:noProof/>
                <w:webHidden/>
              </w:rPr>
              <w:instrText xml:space="preserve"> PAGEREF _Toc235607238 \h </w:instrText>
            </w:r>
            <w:r>
              <w:rPr>
                <w:noProof/>
                <w:webHidden/>
              </w:rPr>
            </w:r>
            <w:r>
              <w:rPr>
                <w:noProof/>
                <w:webHidden/>
              </w:rPr>
              <w:fldChar w:fldCharType="separate"/>
            </w:r>
            <w:r w:rsidR="006148D8">
              <w:rPr>
                <w:noProof/>
                <w:webHidden/>
              </w:rPr>
              <w:t>3</w:t>
            </w:r>
            <w:r>
              <w:rPr>
                <w:noProof/>
                <w:webHidden/>
              </w:rPr>
              <w:fldChar w:fldCharType="end"/>
            </w:r>
          </w:hyperlink>
        </w:p>
        <w:p w14:paraId="7F6EABC2" w14:textId="06BB52D7" w:rsidR="00CF4138" w:rsidRDefault="00CF4138">
          <w:pPr>
            <w:pStyle w:val="TOC3"/>
            <w:rPr>
              <w:rFonts w:cstheme="minorBidi"/>
              <w:noProof/>
              <w:kern w:val="2"/>
              <w:sz w:val="24"/>
              <w:szCs w:val="24"/>
              <w14:ligatures w14:val="standardContextual"/>
            </w:rPr>
          </w:pPr>
          <w:hyperlink w:anchor="_Toc235607239" w:history="1">
            <w:r w:rsidRPr="00304F67">
              <w:rPr>
                <w:rStyle w:val="Hyperlink"/>
              </w:rPr>
              <w:t>1.4 Documents à soumettre</w:t>
            </w:r>
            <w:r>
              <w:rPr>
                <w:noProof/>
                <w:webHidden/>
              </w:rPr>
              <w:tab/>
            </w:r>
            <w:r>
              <w:rPr>
                <w:noProof/>
                <w:webHidden/>
              </w:rPr>
              <w:fldChar w:fldCharType="begin"/>
            </w:r>
            <w:r>
              <w:rPr>
                <w:noProof/>
                <w:webHidden/>
              </w:rPr>
              <w:instrText xml:space="preserve"> PAGEREF _Toc235607239 \h </w:instrText>
            </w:r>
            <w:r>
              <w:rPr>
                <w:noProof/>
                <w:webHidden/>
              </w:rPr>
            </w:r>
            <w:r>
              <w:rPr>
                <w:noProof/>
                <w:webHidden/>
              </w:rPr>
              <w:fldChar w:fldCharType="separate"/>
            </w:r>
            <w:r w:rsidR="006148D8">
              <w:rPr>
                <w:noProof/>
                <w:webHidden/>
              </w:rPr>
              <w:t>4</w:t>
            </w:r>
            <w:r>
              <w:rPr>
                <w:noProof/>
                <w:webHidden/>
              </w:rPr>
              <w:fldChar w:fldCharType="end"/>
            </w:r>
          </w:hyperlink>
        </w:p>
        <w:p w14:paraId="53C02AC9" w14:textId="4C1E3118" w:rsidR="00CF4138" w:rsidRDefault="00CF4138">
          <w:pPr>
            <w:pStyle w:val="TOC3"/>
            <w:rPr>
              <w:rFonts w:cstheme="minorBidi"/>
              <w:noProof/>
              <w:kern w:val="2"/>
              <w:sz w:val="24"/>
              <w:szCs w:val="24"/>
              <w14:ligatures w14:val="standardContextual"/>
            </w:rPr>
          </w:pPr>
          <w:hyperlink w:anchor="_Toc235607240" w:history="1">
            <w:r w:rsidRPr="00304F67">
              <w:rPr>
                <w:rStyle w:val="Hyperlink"/>
              </w:rPr>
              <w:t>1.5 Livraison, entreposage et manutention</w:t>
            </w:r>
            <w:r>
              <w:rPr>
                <w:noProof/>
                <w:webHidden/>
              </w:rPr>
              <w:tab/>
            </w:r>
            <w:r>
              <w:rPr>
                <w:noProof/>
                <w:webHidden/>
              </w:rPr>
              <w:fldChar w:fldCharType="begin"/>
            </w:r>
            <w:r>
              <w:rPr>
                <w:noProof/>
                <w:webHidden/>
              </w:rPr>
              <w:instrText xml:space="preserve"> PAGEREF _Toc235607240 \h </w:instrText>
            </w:r>
            <w:r>
              <w:rPr>
                <w:noProof/>
                <w:webHidden/>
              </w:rPr>
            </w:r>
            <w:r>
              <w:rPr>
                <w:noProof/>
                <w:webHidden/>
              </w:rPr>
              <w:fldChar w:fldCharType="separate"/>
            </w:r>
            <w:r w:rsidR="006148D8">
              <w:rPr>
                <w:noProof/>
                <w:webHidden/>
              </w:rPr>
              <w:t>4</w:t>
            </w:r>
            <w:r>
              <w:rPr>
                <w:noProof/>
                <w:webHidden/>
              </w:rPr>
              <w:fldChar w:fldCharType="end"/>
            </w:r>
          </w:hyperlink>
        </w:p>
        <w:p w14:paraId="0E363DDC" w14:textId="6F3A5B91" w:rsidR="00CF4138" w:rsidRDefault="00CF4138">
          <w:pPr>
            <w:pStyle w:val="TOC3"/>
            <w:rPr>
              <w:rFonts w:cstheme="minorBidi"/>
              <w:noProof/>
              <w:kern w:val="2"/>
              <w:sz w:val="24"/>
              <w:szCs w:val="24"/>
              <w14:ligatures w14:val="standardContextual"/>
            </w:rPr>
          </w:pPr>
          <w:hyperlink w:anchor="_Toc235607241" w:history="1">
            <w:r w:rsidRPr="00304F67">
              <w:rPr>
                <w:rStyle w:val="Hyperlink"/>
              </w:rPr>
              <w:t>1.6 Garantie</w:t>
            </w:r>
            <w:r>
              <w:rPr>
                <w:noProof/>
                <w:webHidden/>
              </w:rPr>
              <w:tab/>
            </w:r>
            <w:r>
              <w:rPr>
                <w:noProof/>
                <w:webHidden/>
              </w:rPr>
              <w:fldChar w:fldCharType="begin"/>
            </w:r>
            <w:r>
              <w:rPr>
                <w:noProof/>
                <w:webHidden/>
              </w:rPr>
              <w:instrText xml:space="preserve"> PAGEREF _Toc235607241 \h </w:instrText>
            </w:r>
            <w:r>
              <w:rPr>
                <w:noProof/>
                <w:webHidden/>
              </w:rPr>
            </w:r>
            <w:r>
              <w:rPr>
                <w:noProof/>
                <w:webHidden/>
              </w:rPr>
              <w:fldChar w:fldCharType="separate"/>
            </w:r>
            <w:r w:rsidR="006148D8">
              <w:rPr>
                <w:noProof/>
                <w:webHidden/>
              </w:rPr>
              <w:t>4</w:t>
            </w:r>
            <w:r>
              <w:rPr>
                <w:noProof/>
                <w:webHidden/>
              </w:rPr>
              <w:fldChar w:fldCharType="end"/>
            </w:r>
          </w:hyperlink>
        </w:p>
        <w:p w14:paraId="51EFD66B" w14:textId="1FF3A462" w:rsidR="00CF4138" w:rsidRDefault="00CF4138">
          <w:pPr>
            <w:pStyle w:val="TOC2"/>
            <w:rPr>
              <w:rFonts w:cstheme="minorBidi"/>
              <w:noProof/>
              <w:kern w:val="2"/>
              <w:sz w:val="24"/>
              <w:szCs w:val="24"/>
              <w14:ligatures w14:val="standardContextual"/>
            </w:rPr>
          </w:pPr>
          <w:hyperlink w:anchor="_Toc235607242" w:history="1">
            <w:r w:rsidRPr="00304F67">
              <w:rPr>
                <w:rStyle w:val="Hyperlink"/>
              </w:rPr>
              <w:t>PARTIE 2 – VARIATEURS DE FRÉQUENCE</w:t>
            </w:r>
            <w:r>
              <w:rPr>
                <w:noProof/>
                <w:webHidden/>
              </w:rPr>
              <w:tab/>
            </w:r>
            <w:r>
              <w:rPr>
                <w:noProof/>
                <w:webHidden/>
              </w:rPr>
              <w:fldChar w:fldCharType="begin"/>
            </w:r>
            <w:r>
              <w:rPr>
                <w:noProof/>
                <w:webHidden/>
              </w:rPr>
              <w:instrText xml:space="preserve"> PAGEREF _Toc235607242 \h </w:instrText>
            </w:r>
            <w:r>
              <w:rPr>
                <w:noProof/>
                <w:webHidden/>
              </w:rPr>
            </w:r>
            <w:r>
              <w:rPr>
                <w:noProof/>
                <w:webHidden/>
              </w:rPr>
              <w:fldChar w:fldCharType="separate"/>
            </w:r>
            <w:r w:rsidR="006148D8">
              <w:rPr>
                <w:noProof/>
                <w:webHidden/>
              </w:rPr>
              <w:t>5</w:t>
            </w:r>
            <w:r>
              <w:rPr>
                <w:noProof/>
                <w:webHidden/>
              </w:rPr>
              <w:fldChar w:fldCharType="end"/>
            </w:r>
          </w:hyperlink>
        </w:p>
        <w:p w14:paraId="7901BB3B" w14:textId="528B2477" w:rsidR="00CF4138" w:rsidRDefault="00CF4138">
          <w:pPr>
            <w:pStyle w:val="TOC3"/>
            <w:rPr>
              <w:rFonts w:cstheme="minorBidi"/>
              <w:noProof/>
              <w:kern w:val="2"/>
              <w:sz w:val="24"/>
              <w:szCs w:val="24"/>
              <w14:ligatures w14:val="standardContextual"/>
            </w:rPr>
          </w:pPr>
          <w:hyperlink w:anchor="_Toc235607243" w:history="1">
            <w:r w:rsidRPr="00304F67">
              <w:rPr>
                <w:rStyle w:val="Hyperlink"/>
              </w:rPr>
              <w:t>2.1 Généralités</w:t>
            </w:r>
            <w:r>
              <w:rPr>
                <w:noProof/>
                <w:webHidden/>
              </w:rPr>
              <w:tab/>
            </w:r>
            <w:r>
              <w:rPr>
                <w:noProof/>
                <w:webHidden/>
              </w:rPr>
              <w:fldChar w:fldCharType="begin"/>
            </w:r>
            <w:r>
              <w:rPr>
                <w:noProof/>
                <w:webHidden/>
              </w:rPr>
              <w:instrText xml:space="preserve"> PAGEREF _Toc235607243 \h </w:instrText>
            </w:r>
            <w:r>
              <w:rPr>
                <w:noProof/>
                <w:webHidden/>
              </w:rPr>
            </w:r>
            <w:r>
              <w:rPr>
                <w:noProof/>
                <w:webHidden/>
              </w:rPr>
              <w:fldChar w:fldCharType="separate"/>
            </w:r>
            <w:r w:rsidR="006148D8">
              <w:rPr>
                <w:noProof/>
                <w:webHidden/>
              </w:rPr>
              <w:t>5</w:t>
            </w:r>
            <w:r>
              <w:rPr>
                <w:noProof/>
                <w:webHidden/>
              </w:rPr>
              <w:fldChar w:fldCharType="end"/>
            </w:r>
          </w:hyperlink>
        </w:p>
        <w:p w14:paraId="5278CA02" w14:textId="61502B2C" w:rsidR="00CF4138" w:rsidRDefault="00CF4138">
          <w:pPr>
            <w:pStyle w:val="TOC3"/>
            <w:rPr>
              <w:rFonts w:cstheme="minorBidi"/>
              <w:noProof/>
              <w:kern w:val="2"/>
              <w:sz w:val="24"/>
              <w:szCs w:val="24"/>
              <w14:ligatures w14:val="standardContextual"/>
            </w:rPr>
          </w:pPr>
          <w:hyperlink w:anchor="_Toc235607244" w:history="1">
            <w:r w:rsidRPr="00304F67">
              <w:rPr>
                <w:rStyle w:val="Hyperlink"/>
              </w:rPr>
              <w:t>2.2 Critères de conception</w:t>
            </w:r>
            <w:r>
              <w:rPr>
                <w:noProof/>
                <w:webHidden/>
              </w:rPr>
              <w:tab/>
            </w:r>
            <w:r>
              <w:rPr>
                <w:noProof/>
                <w:webHidden/>
              </w:rPr>
              <w:fldChar w:fldCharType="begin"/>
            </w:r>
            <w:r>
              <w:rPr>
                <w:noProof/>
                <w:webHidden/>
              </w:rPr>
              <w:instrText xml:space="preserve"> PAGEREF _Toc235607244 \h </w:instrText>
            </w:r>
            <w:r>
              <w:rPr>
                <w:noProof/>
                <w:webHidden/>
              </w:rPr>
            </w:r>
            <w:r>
              <w:rPr>
                <w:noProof/>
                <w:webHidden/>
              </w:rPr>
              <w:fldChar w:fldCharType="separate"/>
            </w:r>
            <w:r w:rsidR="006148D8">
              <w:rPr>
                <w:noProof/>
                <w:webHidden/>
              </w:rPr>
              <w:t>5</w:t>
            </w:r>
            <w:r>
              <w:rPr>
                <w:noProof/>
                <w:webHidden/>
              </w:rPr>
              <w:fldChar w:fldCharType="end"/>
            </w:r>
          </w:hyperlink>
        </w:p>
        <w:p w14:paraId="7EEA8710" w14:textId="3F42C5BC"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45" w:history="1">
            <w:r w:rsidRPr="00304F67">
              <w:rPr>
                <w:rStyle w:val="Hyperlink"/>
              </w:rPr>
              <w:t>2.2.1 Généralités</w:t>
            </w:r>
            <w:r>
              <w:rPr>
                <w:noProof/>
                <w:webHidden/>
              </w:rPr>
              <w:tab/>
            </w:r>
            <w:r>
              <w:rPr>
                <w:noProof/>
                <w:webHidden/>
              </w:rPr>
              <w:fldChar w:fldCharType="begin"/>
            </w:r>
            <w:r>
              <w:rPr>
                <w:noProof/>
                <w:webHidden/>
              </w:rPr>
              <w:instrText xml:space="preserve"> PAGEREF _Toc235607245 \h </w:instrText>
            </w:r>
            <w:r>
              <w:rPr>
                <w:noProof/>
                <w:webHidden/>
              </w:rPr>
            </w:r>
            <w:r>
              <w:rPr>
                <w:noProof/>
                <w:webHidden/>
              </w:rPr>
              <w:fldChar w:fldCharType="separate"/>
            </w:r>
            <w:r w:rsidR="006148D8">
              <w:rPr>
                <w:noProof/>
                <w:webHidden/>
              </w:rPr>
              <w:t>5</w:t>
            </w:r>
            <w:r>
              <w:rPr>
                <w:noProof/>
                <w:webHidden/>
              </w:rPr>
              <w:fldChar w:fldCharType="end"/>
            </w:r>
          </w:hyperlink>
        </w:p>
        <w:p w14:paraId="064C76F0" w14:textId="6B72B287"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46" w:history="1">
            <w:r w:rsidRPr="00304F67">
              <w:rPr>
                <w:rStyle w:val="Hyperlink"/>
              </w:rPr>
              <w:t>2.2.2 Environnement</w:t>
            </w:r>
            <w:r>
              <w:rPr>
                <w:noProof/>
                <w:webHidden/>
              </w:rPr>
              <w:tab/>
            </w:r>
            <w:r>
              <w:rPr>
                <w:noProof/>
                <w:webHidden/>
              </w:rPr>
              <w:fldChar w:fldCharType="begin"/>
            </w:r>
            <w:r>
              <w:rPr>
                <w:noProof/>
                <w:webHidden/>
              </w:rPr>
              <w:instrText xml:space="preserve"> PAGEREF _Toc235607246 \h </w:instrText>
            </w:r>
            <w:r>
              <w:rPr>
                <w:noProof/>
                <w:webHidden/>
              </w:rPr>
            </w:r>
            <w:r>
              <w:rPr>
                <w:noProof/>
                <w:webHidden/>
              </w:rPr>
              <w:fldChar w:fldCharType="separate"/>
            </w:r>
            <w:r w:rsidR="006148D8">
              <w:rPr>
                <w:noProof/>
                <w:webHidden/>
              </w:rPr>
              <w:t>6</w:t>
            </w:r>
            <w:r>
              <w:rPr>
                <w:noProof/>
                <w:webHidden/>
              </w:rPr>
              <w:fldChar w:fldCharType="end"/>
            </w:r>
          </w:hyperlink>
        </w:p>
        <w:p w14:paraId="3E7B8E0F" w14:textId="6F919DCB"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47" w:history="1">
            <w:r w:rsidRPr="00304F67">
              <w:rPr>
                <w:rStyle w:val="Hyperlink"/>
              </w:rPr>
              <w:t>2.2.3 Alimentation d'entrée</w:t>
            </w:r>
            <w:r>
              <w:rPr>
                <w:noProof/>
                <w:webHidden/>
              </w:rPr>
              <w:tab/>
            </w:r>
            <w:r>
              <w:rPr>
                <w:noProof/>
                <w:webHidden/>
              </w:rPr>
              <w:fldChar w:fldCharType="begin"/>
            </w:r>
            <w:r>
              <w:rPr>
                <w:noProof/>
                <w:webHidden/>
              </w:rPr>
              <w:instrText xml:space="preserve"> PAGEREF _Toc235607247 \h </w:instrText>
            </w:r>
            <w:r>
              <w:rPr>
                <w:noProof/>
                <w:webHidden/>
              </w:rPr>
            </w:r>
            <w:r>
              <w:rPr>
                <w:noProof/>
                <w:webHidden/>
              </w:rPr>
              <w:fldChar w:fldCharType="separate"/>
            </w:r>
            <w:r w:rsidR="006148D8">
              <w:rPr>
                <w:noProof/>
                <w:webHidden/>
              </w:rPr>
              <w:t>6</w:t>
            </w:r>
            <w:r>
              <w:rPr>
                <w:noProof/>
                <w:webHidden/>
              </w:rPr>
              <w:fldChar w:fldCharType="end"/>
            </w:r>
          </w:hyperlink>
        </w:p>
        <w:p w14:paraId="2505AA1F" w14:textId="1D7C37D5"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48" w:history="1">
            <w:r w:rsidRPr="00304F67">
              <w:rPr>
                <w:rStyle w:val="Hyperlink"/>
              </w:rPr>
              <w:t>2.2.4 Section convertisseur (entrée)</w:t>
            </w:r>
            <w:r>
              <w:rPr>
                <w:noProof/>
                <w:webHidden/>
              </w:rPr>
              <w:tab/>
            </w:r>
            <w:r>
              <w:rPr>
                <w:noProof/>
                <w:webHidden/>
              </w:rPr>
              <w:fldChar w:fldCharType="begin"/>
            </w:r>
            <w:r>
              <w:rPr>
                <w:noProof/>
                <w:webHidden/>
              </w:rPr>
              <w:instrText xml:space="preserve"> PAGEREF _Toc235607248 \h </w:instrText>
            </w:r>
            <w:r>
              <w:rPr>
                <w:noProof/>
                <w:webHidden/>
              </w:rPr>
            </w:r>
            <w:r>
              <w:rPr>
                <w:noProof/>
                <w:webHidden/>
              </w:rPr>
              <w:fldChar w:fldCharType="separate"/>
            </w:r>
            <w:r w:rsidR="006148D8">
              <w:rPr>
                <w:noProof/>
                <w:webHidden/>
              </w:rPr>
              <w:t>7</w:t>
            </w:r>
            <w:r>
              <w:rPr>
                <w:noProof/>
                <w:webHidden/>
              </w:rPr>
              <w:fldChar w:fldCharType="end"/>
            </w:r>
          </w:hyperlink>
        </w:p>
        <w:p w14:paraId="655C247A" w14:textId="0A7FCF43"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49" w:history="1">
            <w:r w:rsidRPr="00304F67">
              <w:rPr>
                <w:rStyle w:val="Hyperlink"/>
              </w:rPr>
              <w:t>2.2.5 Section bus CC</w:t>
            </w:r>
            <w:r>
              <w:rPr>
                <w:noProof/>
                <w:webHidden/>
              </w:rPr>
              <w:tab/>
            </w:r>
            <w:r>
              <w:rPr>
                <w:noProof/>
                <w:webHidden/>
              </w:rPr>
              <w:fldChar w:fldCharType="begin"/>
            </w:r>
            <w:r>
              <w:rPr>
                <w:noProof/>
                <w:webHidden/>
              </w:rPr>
              <w:instrText xml:space="preserve"> PAGEREF _Toc235607249 \h </w:instrText>
            </w:r>
            <w:r>
              <w:rPr>
                <w:noProof/>
                <w:webHidden/>
              </w:rPr>
            </w:r>
            <w:r>
              <w:rPr>
                <w:noProof/>
                <w:webHidden/>
              </w:rPr>
              <w:fldChar w:fldCharType="separate"/>
            </w:r>
            <w:r w:rsidR="006148D8">
              <w:rPr>
                <w:noProof/>
                <w:webHidden/>
              </w:rPr>
              <w:t>7</w:t>
            </w:r>
            <w:r>
              <w:rPr>
                <w:noProof/>
                <w:webHidden/>
              </w:rPr>
              <w:fldChar w:fldCharType="end"/>
            </w:r>
          </w:hyperlink>
        </w:p>
        <w:p w14:paraId="1AF04586" w14:textId="13ADB53C"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0" w:history="1">
            <w:r w:rsidRPr="00304F67">
              <w:rPr>
                <w:rStyle w:val="Hyperlink"/>
              </w:rPr>
              <w:t>2.2.6 Section onduleur (sortie)</w:t>
            </w:r>
            <w:r>
              <w:rPr>
                <w:noProof/>
                <w:webHidden/>
              </w:rPr>
              <w:tab/>
            </w:r>
            <w:r>
              <w:rPr>
                <w:noProof/>
                <w:webHidden/>
              </w:rPr>
              <w:fldChar w:fldCharType="begin"/>
            </w:r>
            <w:r>
              <w:rPr>
                <w:noProof/>
                <w:webHidden/>
              </w:rPr>
              <w:instrText xml:space="preserve"> PAGEREF _Toc235607250 \h </w:instrText>
            </w:r>
            <w:r>
              <w:rPr>
                <w:noProof/>
                <w:webHidden/>
              </w:rPr>
            </w:r>
            <w:r>
              <w:rPr>
                <w:noProof/>
                <w:webHidden/>
              </w:rPr>
              <w:fldChar w:fldCharType="separate"/>
            </w:r>
            <w:r w:rsidR="006148D8">
              <w:rPr>
                <w:noProof/>
                <w:webHidden/>
              </w:rPr>
              <w:t>7</w:t>
            </w:r>
            <w:r>
              <w:rPr>
                <w:noProof/>
                <w:webHidden/>
              </w:rPr>
              <w:fldChar w:fldCharType="end"/>
            </w:r>
          </w:hyperlink>
        </w:p>
        <w:p w14:paraId="0EA7DA0F" w14:textId="3257F58D"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1" w:history="1">
            <w:r w:rsidRPr="00304F67">
              <w:rPr>
                <w:rStyle w:val="Hyperlink"/>
              </w:rPr>
              <w:t>2.2.7 Section de commande du moteur</w:t>
            </w:r>
            <w:r>
              <w:rPr>
                <w:noProof/>
                <w:webHidden/>
              </w:rPr>
              <w:tab/>
            </w:r>
            <w:r>
              <w:rPr>
                <w:noProof/>
                <w:webHidden/>
              </w:rPr>
              <w:fldChar w:fldCharType="begin"/>
            </w:r>
            <w:r>
              <w:rPr>
                <w:noProof/>
                <w:webHidden/>
              </w:rPr>
              <w:instrText xml:space="preserve"> PAGEREF _Toc235607251 \h </w:instrText>
            </w:r>
            <w:r>
              <w:rPr>
                <w:noProof/>
                <w:webHidden/>
              </w:rPr>
            </w:r>
            <w:r>
              <w:rPr>
                <w:noProof/>
                <w:webHidden/>
              </w:rPr>
              <w:fldChar w:fldCharType="separate"/>
            </w:r>
            <w:r w:rsidR="006148D8">
              <w:rPr>
                <w:noProof/>
                <w:webHidden/>
              </w:rPr>
              <w:t>8</w:t>
            </w:r>
            <w:r>
              <w:rPr>
                <w:noProof/>
                <w:webHidden/>
              </w:rPr>
              <w:fldChar w:fldCharType="end"/>
            </w:r>
          </w:hyperlink>
        </w:p>
        <w:p w14:paraId="586523A6" w14:textId="2C6C28DD"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2" w:history="1">
            <w:r w:rsidRPr="00304F67">
              <w:rPr>
                <w:rStyle w:val="Hyperlink"/>
              </w:rPr>
              <w:t>2.2.8 Interface homme-machine (HMI)</w:t>
            </w:r>
            <w:r>
              <w:rPr>
                <w:noProof/>
                <w:webHidden/>
              </w:rPr>
              <w:tab/>
            </w:r>
            <w:r>
              <w:rPr>
                <w:noProof/>
                <w:webHidden/>
              </w:rPr>
              <w:fldChar w:fldCharType="begin"/>
            </w:r>
            <w:r>
              <w:rPr>
                <w:noProof/>
                <w:webHidden/>
              </w:rPr>
              <w:instrText xml:space="preserve"> PAGEREF _Toc235607252 \h </w:instrText>
            </w:r>
            <w:r>
              <w:rPr>
                <w:noProof/>
                <w:webHidden/>
              </w:rPr>
            </w:r>
            <w:r>
              <w:rPr>
                <w:noProof/>
                <w:webHidden/>
              </w:rPr>
              <w:fldChar w:fldCharType="separate"/>
            </w:r>
            <w:r w:rsidR="006148D8">
              <w:rPr>
                <w:noProof/>
                <w:webHidden/>
              </w:rPr>
              <w:t>9</w:t>
            </w:r>
            <w:r>
              <w:rPr>
                <w:noProof/>
                <w:webHidden/>
              </w:rPr>
              <w:fldChar w:fldCharType="end"/>
            </w:r>
          </w:hyperlink>
        </w:p>
        <w:p w14:paraId="3B158BF8" w14:textId="1834257B"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3" w:history="1">
            <w:r w:rsidRPr="00304F67">
              <w:rPr>
                <w:rStyle w:val="Hyperlink"/>
              </w:rPr>
              <w:t>2.2.9 Application pour téléphone intelligent</w:t>
            </w:r>
            <w:r>
              <w:rPr>
                <w:noProof/>
                <w:webHidden/>
              </w:rPr>
              <w:tab/>
            </w:r>
            <w:r>
              <w:rPr>
                <w:noProof/>
                <w:webHidden/>
              </w:rPr>
              <w:fldChar w:fldCharType="begin"/>
            </w:r>
            <w:r>
              <w:rPr>
                <w:noProof/>
                <w:webHidden/>
              </w:rPr>
              <w:instrText xml:space="preserve"> PAGEREF _Toc235607253 \h </w:instrText>
            </w:r>
            <w:r>
              <w:rPr>
                <w:noProof/>
                <w:webHidden/>
              </w:rPr>
            </w:r>
            <w:r>
              <w:rPr>
                <w:noProof/>
                <w:webHidden/>
              </w:rPr>
              <w:fldChar w:fldCharType="separate"/>
            </w:r>
            <w:r w:rsidR="006148D8">
              <w:rPr>
                <w:noProof/>
                <w:webHidden/>
              </w:rPr>
              <w:t>9</w:t>
            </w:r>
            <w:r>
              <w:rPr>
                <w:noProof/>
                <w:webHidden/>
              </w:rPr>
              <w:fldChar w:fldCharType="end"/>
            </w:r>
          </w:hyperlink>
        </w:p>
        <w:p w14:paraId="44A77BD1" w14:textId="63842ECB"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4" w:history="1">
            <w:r w:rsidRPr="00304F67">
              <w:rPr>
                <w:rStyle w:val="Hyperlink"/>
              </w:rPr>
              <w:t>2.2.10 Fonctionnalités de l'HMI et de l'application mobile</w:t>
            </w:r>
            <w:r>
              <w:rPr>
                <w:noProof/>
                <w:webHidden/>
              </w:rPr>
              <w:tab/>
            </w:r>
            <w:r>
              <w:rPr>
                <w:noProof/>
                <w:webHidden/>
              </w:rPr>
              <w:fldChar w:fldCharType="begin"/>
            </w:r>
            <w:r>
              <w:rPr>
                <w:noProof/>
                <w:webHidden/>
              </w:rPr>
              <w:instrText xml:space="preserve"> PAGEREF _Toc235607254 \h </w:instrText>
            </w:r>
            <w:r>
              <w:rPr>
                <w:noProof/>
                <w:webHidden/>
              </w:rPr>
            </w:r>
            <w:r>
              <w:rPr>
                <w:noProof/>
                <w:webHidden/>
              </w:rPr>
              <w:fldChar w:fldCharType="separate"/>
            </w:r>
            <w:r w:rsidR="006148D8">
              <w:rPr>
                <w:noProof/>
                <w:webHidden/>
              </w:rPr>
              <w:t>10</w:t>
            </w:r>
            <w:r>
              <w:rPr>
                <w:noProof/>
                <w:webHidden/>
              </w:rPr>
              <w:fldChar w:fldCharType="end"/>
            </w:r>
          </w:hyperlink>
        </w:p>
        <w:p w14:paraId="6845C8C8" w14:textId="28A67464"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5" w:history="1">
            <w:r w:rsidRPr="00304F67">
              <w:rPr>
                <w:rStyle w:val="Hyperlink"/>
              </w:rPr>
              <w:t>2.2.11 Bornes de câblage de commande</w:t>
            </w:r>
            <w:r>
              <w:rPr>
                <w:noProof/>
                <w:webHidden/>
              </w:rPr>
              <w:tab/>
            </w:r>
            <w:r>
              <w:rPr>
                <w:noProof/>
                <w:webHidden/>
              </w:rPr>
              <w:fldChar w:fldCharType="begin"/>
            </w:r>
            <w:r>
              <w:rPr>
                <w:noProof/>
                <w:webHidden/>
              </w:rPr>
              <w:instrText xml:space="preserve"> PAGEREF _Toc235607255 \h </w:instrText>
            </w:r>
            <w:r>
              <w:rPr>
                <w:noProof/>
                <w:webHidden/>
              </w:rPr>
            </w:r>
            <w:r>
              <w:rPr>
                <w:noProof/>
                <w:webHidden/>
              </w:rPr>
              <w:fldChar w:fldCharType="separate"/>
            </w:r>
            <w:r w:rsidR="006148D8">
              <w:rPr>
                <w:noProof/>
                <w:webHidden/>
              </w:rPr>
              <w:t>11</w:t>
            </w:r>
            <w:r>
              <w:rPr>
                <w:noProof/>
                <w:webHidden/>
              </w:rPr>
              <w:fldChar w:fldCharType="end"/>
            </w:r>
          </w:hyperlink>
        </w:p>
        <w:p w14:paraId="583481E9" w14:textId="227634D2" w:rsidR="00CF4138" w:rsidRDefault="00CF4138">
          <w:pPr>
            <w:pStyle w:val="TOC3"/>
            <w:rPr>
              <w:rFonts w:cstheme="minorBidi"/>
              <w:noProof/>
              <w:kern w:val="2"/>
              <w:sz w:val="24"/>
              <w:szCs w:val="24"/>
              <w14:ligatures w14:val="standardContextual"/>
            </w:rPr>
          </w:pPr>
          <w:hyperlink w:anchor="_Toc235607256" w:history="1">
            <w:r w:rsidRPr="00304F67">
              <w:rPr>
                <w:rStyle w:val="Hyperlink"/>
              </w:rPr>
              <w:t>2.3 Performances du VFD</w:t>
            </w:r>
            <w:r>
              <w:rPr>
                <w:noProof/>
                <w:webHidden/>
              </w:rPr>
              <w:tab/>
            </w:r>
            <w:r>
              <w:rPr>
                <w:noProof/>
                <w:webHidden/>
              </w:rPr>
              <w:fldChar w:fldCharType="begin"/>
            </w:r>
            <w:r>
              <w:rPr>
                <w:noProof/>
                <w:webHidden/>
              </w:rPr>
              <w:instrText xml:space="preserve"> PAGEREF _Toc235607256 \h </w:instrText>
            </w:r>
            <w:r>
              <w:rPr>
                <w:noProof/>
                <w:webHidden/>
              </w:rPr>
            </w:r>
            <w:r>
              <w:rPr>
                <w:noProof/>
                <w:webHidden/>
              </w:rPr>
              <w:fldChar w:fldCharType="separate"/>
            </w:r>
            <w:r w:rsidR="006148D8">
              <w:rPr>
                <w:noProof/>
                <w:webHidden/>
              </w:rPr>
              <w:t>12</w:t>
            </w:r>
            <w:r>
              <w:rPr>
                <w:noProof/>
                <w:webHidden/>
              </w:rPr>
              <w:fldChar w:fldCharType="end"/>
            </w:r>
          </w:hyperlink>
        </w:p>
        <w:p w14:paraId="7168BF01" w14:textId="0028F439"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7" w:history="1">
            <w:r w:rsidRPr="00304F67">
              <w:rPr>
                <w:rStyle w:val="Hyperlink"/>
              </w:rPr>
              <w:t>2.3.1 Protections</w:t>
            </w:r>
            <w:r>
              <w:rPr>
                <w:noProof/>
                <w:webHidden/>
              </w:rPr>
              <w:tab/>
            </w:r>
            <w:r>
              <w:rPr>
                <w:noProof/>
                <w:webHidden/>
              </w:rPr>
              <w:fldChar w:fldCharType="begin"/>
            </w:r>
            <w:r>
              <w:rPr>
                <w:noProof/>
                <w:webHidden/>
              </w:rPr>
              <w:instrText xml:space="preserve"> PAGEREF _Toc235607257 \h </w:instrText>
            </w:r>
            <w:r>
              <w:rPr>
                <w:noProof/>
                <w:webHidden/>
              </w:rPr>
            </w:r>
            <w:r>
              <w:rPr>
                <w:noProof/>
                <w:webHidden/>
              </w:rPr>
              <w:fldChar w:fldCharType="separate"/>
            </w:r>
            <w:r w:rsidR="006148D8">
              <w:rPr>
                <w:noProof/>
                <w:webHidden/>
              </w:rPr>
              <w:t>12</w:t>
            </w:r>
            <w:r>
              <w:rPr>
                <w:noProof/>
                <w:webHidden/>
              </w:rPr>
              <w:fldChar w:fldCharType="end"/>
            </w:r>
          </w:hyperlink>
        </w:p>
        <w:p w14:paraId="5A7470C3" w14:textId="0AE35EE4"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8" w:history="1">
            <w:r w:rsidRPr="00304F67">
              <w:rPr>
                <w:rStyle w:val="Hyperlink"/>
              </w:rPr>
              <w:t>2.3.2 Fonctionnement</w:t>
            </w:r>
            <w:r>
              <w:rPr>
                <w:noProof/>
                <w:webHidden/>
              </w:rPr>
              <w:tab/>
            </w:r>
            <w:r>
              <w:rPr>
                <w:noProof/>
                <w:webHidden/>
              </w:rPr>
              <w:fldChar w:fldCharType="begin"/>
            </w:r>
            <w:r>
              <w:rPr>
                <w:noProof/>
                <w:webHidden/>
              </w:rPr>
              <w:instrText xml:space="preserve"> PAGEREF _Toc235607258 \h </w:instrText>
            </w:r>
            <w:r>
              <w:rPr>
                <w:noProof/>
                <w:webHidden/>
              </w:rPr>
            </w:r>
            <w:r>
              <w:rPr>
                <w:noProof/>
                <w:webHidden/>
              </w:rPr>
              <w:fldChar w:fldCharType="separate"/>
            </w:r>
            <w:r w:rsidR="006148D8">
              <w:rPr>
                <w:noProof/>
                <w:webHidden/>
              </w:rPr>
              <w:t>14</w:t>
            </w:r>
            <w:r>
              <w:rPr>
                <w:noProof/>
                <w:webHidden/>
              </w:rPr>
              <w:fldChar w:fldCharType="end"/>
            </w:r>
          </w:hyperlink>
        </w:p>
        <w:p w14:paraId="4016DC28" w14:textId="22A85B28" w:rsidR="00CF4138" w:rsidRDefault="00CF4138">
          <w:pPr>
            <w:pStyle w:val="TOC4"/>
            <w:tabs>
              <w:tab w:val="right" w:leader="dot" w:pos="10070"/>
            </w:tabs>
            <w:rPr>
              <w:rFonts w:asciiTheme="minorHAnsi" w:eastAsiaTheme="minorEastAsia" w:hAnsiTheme="minorHAnsi" w:cstheme="minorBidi"/>
              <w:noProof/>
              <w:kern w:val="2"/>
              <w:sz w:val="24"/>
              <w:szCs w:val="24"/>
              <w14:ligatures w14:val="standardContextual"/>
            </w:rPr>
          </w:pPr>
          <w:hyperlink w:anchor="_Toc235607259" w:history="1">
            <w:r w:rsidRPr="00304F67">
              <w:rPr>
                <w:rStyle w:val="Hyperlink"/>
              </w:rPr>
              <w:t>2.3.3 Maintenance et soutien</w:t>
            </w:r>
            <w:r>
              <w:rPr>
                <w:noProof/>
                <w:webHidden/>
              </w:rPr>
              <w:tab/>
            </w:r>
            <w:r>
              <w:rPr>
                <w:noProof/>
                <w:webHidden/>
              </w:rPr>
              <w:fldChar w:fldCharType="begin"/>
            </w:r>
            <w:r>
              <w:rPr>
                <w:noProof/>
                <w:webHidden/>
              </w:rPr>
              <w:instrText xml:space="preserve"> PAGEREF _Toc235607259 \h </w:instrText>
            </w:r>
            <w:r>
              <w:rPr>
                <w:noProof/>
                <w:webHidden/>
              </w:rPr>
            </w:r>
            <w:r>
              <w:rPr>
                <w:noProof/>
                <w:webHidden/>
              </w:rPr>
              <w:fldChar w:fldCharType="separate"/>
            </w:r>
            <w:r w:rsidR="006148D8">
              <w:rPr>
                <w:noProof/>
                <w:webHidden/>
              </w:rPr>
              <w:t>15</w:t>
            </w:r>
            <w:r>
              <w:rPr>
                <w:noProof/>
                <w:webHidden/>
              </w:rPr>
              <w:fldChar w:fldCharType="end"/>
            </w:r>
          </w:hyperlink>
        </w:p>
        <w:p w14:paraId="4808B2E9" w14:textId="1D27E755" w:rsidR="00CF4138" w:rsidRDefault="00CF4138">
          <w:pPr>
            <w:pStyle w:val="TOC3"/>
            <w:rPr>
              <w:rFonts w:cstheme="minorBidi"/>
              <w:noProof/>
              <w:kern w:val="2"/>
              <w:sz w:val="24"/>
              <w:szCs w:val="24"/>
              <w14:ligatures w14:val="standardContextual"/>
            </w:rPr>
          </w:pPr>
          <w:hyperlink w:anchor="_Toc235607260" w:history="1">
            <w:r w:rsidRPr="00304F67">
              <w:rPr>
                <w:rStyle w:val="Hyperlink"/>
              </w:rPr>
              <w:t>2.4 Équipements non requis</w:t>
            </w:r>
            <w:r>
              <w:rPr>
                <w:noProof/>
                <w:webHidden/>
              </w:rPr>
              <w:tab/>
            </w:r>
            <w:r>
              <w:rPr>
                <w:noProof/>
                <w:webHidden/>
              </w:rPr>
              <w:fldChar w:fldCharType="begin"/>
            </w:r>
            <w:r>
              <w:rPr>
                <w:noProof/>
                <w:webHidden/>
              </w:rPr>
              <w:instrText xml:space="preserve"> PAGEREF _Toc235607260 \h </w:instrText>
            </w:r>
            <w:r>
              <w:rPr>
                <w:noProof/>
                <w:webHidden/>
              </w:rPr>
            </w:r>
            <w:r>
              <w:rPr>
                <w:noProof/>
                <w:webHidden/>
              </w:rPr>
              <w:fldChar w:fldCharType="separate"/>
            </w:r>
            <w:r w:rsidR="006148D8">
              <w:rPr>
                <w:noProof/>
                <w:webHidden/>
              </w:rPr>
              <w:t>16</w:t>
            </w:r>
            <w:r>
              <w:rPr>
                <w:noProof/>
                <w:webHidden/>
              </w:rPr>
              <w:fldChar w:fldCharType="end"/>
            </w:r>
          </w:hyperlink>
        </w:p>
        <w:p w14:paraId="10C48052" w14:textId="5315EB2E" w:rsidR="00CF4138" w:rsidRDefault="00CF4138">
          <w:pPr>
            <w:pStyle w:val="TOC2"/>
            <w:rPr>
              <w:rFonts w:cstheme="minorBidi"/>
              <w:noProof/>
              <w:kern w:val="2"/>
              <w:sz w:val="24"/>
              <w:szCs w:val="24"/>
              <w14:ligatures w14:val="standardContextual"/>
            </w:rPr>
          </w:pPr>
          <w:hyperlink w:anchor="_Toc235607261" w:history="1">
            <w:r w:rsidRPr="00304F67">
              <w:rPr>
                <w:rStyle w:val="Hyperlink"/>
              </w:rPr>
              <w:t>PARTIE 3 – EXÉCUTION</w:t>
            </w:r>
            <w:r>
              <w:rPr>
                <w:noProof/>
                <w:webHidden/>
              </w:rPr>
              <w:tab/>
            </w:r>
            <w:r>
              <w:rPr>
                <w:noProof/>
                <w:webHidden/>
              </w:rPr>
              <w:fldChar w:fldCharType="begin"/>
            </w:r>
            <w:r>
              <w:rPr>
                <w:noProof/>
                <w:webHidden/>
              </w:rPr>
              <w:instrText xml:space="preserve"> PAGEREF _Toc235607261 \h </w:instrText>
            </w:r>
            <w:r>
              <w:rPr>
                <w:noProof/>
                <w:webHidden/>
              </w:rPr>
            </w:r>
            <w:r>
              <w:rPr>
                <w:noProof/>
                <w:webHidden/>
              </w:rPr>
              <w:fldChar w:fldCharType="separate"/>
            </w:r>
            <w:r w:rsidR="006148D8">
              <w:rPr>
                <w:noProof/>
                <w:webHidden/>
              </w:rPr>
              <w:t>16</w:t>
            </w:r>
            <w:r>
              <w:rPr>
                <w:noProof/>
                <w:webHidden/>
              </w:rPr>
              <w:fldChar w:fldCharType="end"/>
            </w:r>
          </w:hyperlink>
        </w:p>
        <w:p w14:paraId="5D7B7DF0" w14:textId="246028D9" w:rsidR="00CF4138" w:rsidRDefault="00CF4138">
          <w:pPr>
            <w:pStyle w:val="TOC3"/>
            <w:rPr>
              <w:rFonts w:cstheme="minorBidi"/>
              <w:noProof/>
              <w:kern w:val="2"/>
              <w:sz w:val="24"/>
              <w:szCs w:val="24"/>
              <w14:ligatures w14:val="standardContextual"/>
            </w:rPr>
          </w:pPr>
          <w:hyperlink w:anchor="_Toc235607262" w:history="1">
            <w:r w:rsidRPr="00304F67">
              <w:rPr>
                <w:rStyle w:val="Hyperlink"/>
              </w:rPr>
              <w:t>3.1 Installation</w:t>
            </w:r>
            <w:r>
              <w:rPr>
                <w:noProof/>
                <w:webHidden/>
              </w:rPr>
              <w:tab/>
            </w:r>
            <w:r>
              <w:rPr>
                <w:noProof/>
                <w:webHidden/>
              </w:rPr>
              <w:fldChar w:fldCharType="begin"/>
            </w:r>
            <w:r>
              <w:rPr>
                <w:noProof/>
                <w:webHidden/>
              </w:rPr>
              <w:instrText xml:space="preserve"> PAGEREF _Toc235607262 \h </w:instrText>
            </w:r>
            <w:r>
              <w:rPr>
                <w:noProof/>
                <w:webHidden/>
              </w:rPr>
            </w:r>
            <w:r>
              <w:rPr>
                <w:noProof/>
                <w:webHidden/>
              </w:rPr>
              <w:fldChar w:fldCharType="separate"/>
            </w:r>
            <w:r w:rsidR="006148D8">
              <w:rPr>
                <w:noProof/>
                <w:webHidden/>
              </w:rPr>
              <w:t>16</w:t>
            </w:r>
            <w:r>
              <w:rPr>
                <w:noProof/>
                <w:webHidden/>
              </w:rPr>
              <w:fldChar w:fldCharType="end"/>
            </w:r>
          </w:hyperlink>
        </w:p>
        <w:p w14:paraId="659B4A36" w14:textId="2CB44B23" w:rsidR="00CF4138" w:rsidRDefault="00CF4138">
          <w:pPr>
            <w:pStyle w:val="TOC3"/>
            <w:rPr>
              <w:rFonts w:cstheme="minorBidi"/>
              <w:noProof/>
              <w:kern w:val="2"/>
              <w:sz w:val="24"/>
              <w:szCs w:val="24"/>
              <w14:ligatures w14:val="standardContextual"/>
            </w:rPr>
          </w:pPr>
          <w:hyperlink w:anchor="_Toc235607263" w:history="1">
            <w:r w:rsidRPr="00304F67">
              <w:rPr>
                <w:rStyle w:val="Hyperlink"/>
              </w:rPr>
              <w:t>3.2 Démarrage et mise en service</w:t>
            </w:r>
            <w:r>
              <w:rPr>
                <w:noProof/>
                <w:webHidden/>
              </w:rPr>
              <w:tab/>
            </w:r>
            <w:r>
              <w:rPr>
                <w:noProof/>
                <w:webHidden/>
              </w:rPr>
              <w:fldChar w:fldCharType="begin"/>
            </w:r>
            <w:r>
              <w:rPr>
                <w:noProof/>
                <w:webHidden/>
              </w:rPr>
              <w:instrText xml:space="preserve"> PAGEREF _Toc235607263 \h </w:instrText>
            </w:r>
            <w:r>
              <w:rPr>
                <w:noProof/>
                <w:webHidden/>
              </w:rPr>
            </w:r>
            <w:r>
              <w:rPr>
                <w:noProof/>
                <w:webHidden/>
              </w:rPr>
              <w:fldChar w:fldCharType="separate"/>
            </w:r>
            <w:r w:rsidR="006148D8">
              <w:rPr>
                <w:noProof/>
                <w:webHidden/>
              </w:rPr>
              <w:t>16</w:t>
            </w:r>
            <w:r>
              <w:rPr>
                <w:noProof/>
                <w:webHidden/>
              </w:rPr>
              <w:fldChar w:fldCharType="end"/>
            </w:r>
          </w:hyperlink>
        </w:p>
        <w:p w14:paraId="117AD449" w14:textId="3D8C1935" w:rsidR="00CF4138" w:rsidRDefault="00CF4138">
          <w:pPr>
            <w:pStyle w:val="TOC3"/>
            <w:rPr>
              <w:rFonts w:cstheme="minorBidi"/>
              <w:noProof/>
              <w:kern w:val="2"/>
              <w:sz w:val="24"/>
              <w:szCs w:val="24"/>
              <w14:ligatures w14:val="standardContextual"/>
            </w:rPr>
          </w:pPr>
          <w:hyperlink w:anchor="_Toc235607264" w:history="1">
            <w:r w:rsidRPr="00304F67">
              <w:rPr>
                <w:rStyle w:val="Hyperlink"/>
              </w:rPr>
              <w:t>3.3 Contrôle qualité sur site</w:t>
            </w:r>
            <w:r>
              <w:rPr>
                <w:noProof/>
                <w:webHidden/>
              </w:rPr>
              <w:tab/>
            </w:r>
            <w:r>
              <w:rPr>
                <w:noProof/>
                <w:webHidden/>
              </w:rPr>
              <w:fldChar w:fldCharType="begin"/>
            </w:r>
            <w:r>
              <w:rPr>
                <w:noProof/>
                <w:webHidden/>
              </w:rPr>
              <w:instrText xml:space="preserve"> PAGEREF _Toc235607264 \h </w:instrText>
            </w:r>
            <w:r>
              <w:rPr>
                <w:noProof/>
                <w:webHidden/>
              </w:rPr>
            </w:r>
            <w:r>
              <w:rPr>
                <w:noProof/>
                <w:webHidden/>
              </w:rPr>
              <w:fldChar w:fldCharType="separate"/>
            </w:r>
            <w:r w:rsidR="006148D8">
              <w:rPr>
                <w:noProof/>
                <w:webHidden/>
              </w:rPr>
              <w:t>16</w:t>
            </w:r>
            <w:r>
              <w:rPr>
                <w:noProof/>
                <w:webHidden/>
              </w:rPr>
              <w:fldChar w:fldCharType="end"/>
            </w:r>
          </w:hyperlink>
        </w:p>
        <w:p w14:paraId="302E9FC1" w14:textId="44B5125B" w:rsidR="00CF4138" w:rsidRDefault="00CF4138">
          <w:pPr>
            <w:pStyle w:val="TOC3"/>
            <w:rPr>
              <w:rFonts w:cstheme="minorBidi"/>
              <w:noProof/>
              <w:kern w:val="2"/>
              <w:sz w:val="24"/>
              <w:szCs w:val="24"/>
              <w14:ligatures w14:val="standardContextual"/>
            </w:rPr>
          </w:pPr>
          <w:hyperlink w:anchor="_Toc235607265" w:history="1">
            <w:r w:rsidRPr="00304F67">
              <w:rPr>
                <w:rStyle w:val="Hyperlink"/>
              </w:rPr>
              <w:t>3.4 Formation</w:t>
            </w:r>
            <w:r>
              <w:rPr>
                <w:noProof/>
                <w:webHidden/>
              </w:rPr>
              <w:tab/>
            </w:r>
            <w:r>
              <w:rPr>
                <w:noProof/>
                <w:webHidden/>
              </w:rPr>
              <w:fldChar w:fldCharType="begin"/>
            </w:r>
            <w:r>
              <w:rPr>
                <w:noProof/>
                <w:webHidden/>
              </w:rPr>
              <w:instrText xml:space="preserve"> PAGEREF _Toc235607265 \h </w:instrText>
            </w:r>
            <w:r>
              <w:rPr>
                <w:noProof/>
                <w:webHidden/>
              </w:rPr>
            </w:r>
            <w:r>
              <w:rPr>
                <w:noProof/>
                <w:webHidden/>
              </w:rPr>
              <w:fldChar w:fldCharType="separate"/>
            </w:r>
            <w:r w:rsidR="006148D8">
              <w:rPr>
                <w:noProof/>
                <w:webHidden/>
              </w:rPr>
              <w:t>17</w:t>
            </w:r>
            <w:r>
              <w:rPr>
                <w:noProof/>
                <w:webHidden/>
              </w:rPr>
              <w:fldChar w:fldCharType="end"/>
            </w:r>
          </w:hyperlink>
        </w:p>
        <w:p w14:paraId="07B3818A" w14:textId="136DC7F0" w:rsidR="00CF4138" w:rsidRDefault="00CF4138">
          <w:pPr>
            <w:pStyle w:val="TOC3"/>
            <w:rPr>
              <w:rFonts w:cstheme="minorBidi"/>
              <w:noProof/>
              <w:kern w:val="2"/>
              <w:sz w:val="24"/>
              <w:szCs w:val="24"/>
              <w14:ligatures w14:val="standardContextual"/>
            </w:rPr>
          </w:pPr>
          <w:hyperlink w:anchor="_Toc235607266" w:history="1">
            <w:r w:rsidRPr="00304F67">
              <w:rPr>
                <w:rStyle w:val="Hyperlink"/>
              </w:rPr>
              <w:t>3.5 Pièces de rechange et soutien</w:t>
            </w:r>
            <w:r>
              <w:rPr>
                <w:noProof/>
                <w:webHidden/>
              </w:rPr>
              <w:tab/>
            </w:r>
            <w:r>
              <w:rPr>
                <w:noProof/>
                <w:webHidden/>
              </w:rPr>
              <w:fldChar w:fldCharType="begin"/>
            </w:r>
            <w:r>
              <w:rPr>
                <w:noProof/>
                <w:webHidden/>
              </w:rPr>
              <w:instrText xml:space="preserve"> PAGEREF _Toc235607266 \h </w:instrText>
            </w:r>
            <w:r>
              <w:rPr>
                <w:noProof/>
                <w:webHidden/>
              </w:rPr>
            </w:r>
            <w:r>
              <w:rPr>
                <w:noProof/>
                <w:webHidden/>
              </w:rPr>
              <w:fldChar w:fldCharType="separate"/>
            </w:r>
            <w:r w:rsidR="006148D8">
              <w:rPr>
                <w:noProof/>
                <w:webHidden/>
              </w:rPr>
              <w:t>17</w:t>
            </w:r>
            <w:r>
              <w:rPr>
                <w:noProof/>
                <w:webHidden/>
              </w:rPr>
              <w:fldChar w:fldCharType="end"/>
            </w:r>
          </w:hyperlink>
        </w:p>
        <w:p w14:paraId="07455EE3" w14:textId="0C7D371F" w:rsidR="00561580" w:rsidRDefault="00000000">
          <w:r>
            <w:fldChar w:fldCharType="end"/>
          </w:r>
        </w:p>
      </w:sdtContent>
    </w:sdt>
    <w:p w14:paraId="5AA8A3B1" w14:textId="77777777" w:rsidR="00190D0E" w:rsidRDefault="00190D0E">
      <w:pPr>
        <w:rPr>
          <w:rFonts w:ascii="Sora" w:hAnsi="Sora" w:cs="Sora"/>
          <w:b/>
          <w:color w:val="4FDA6E"/>
          <w:sz w:val="32"/>
          <w:szCs w:val="32"/>
        </w:rPr>
      </w:pPr>
      <w:r>
        <w:br w:type="page"/>
      </w:r>
    </w:p>
    <w:p w14:paraId="76616D0B" w14:textId="77BE4D4E" w:rsidR="00561580" w:rsidRPr="00554D42" w:rsidRDefault="00000000" w:rsidP="00554D42">
      <w:pPr>
        <w:pStyle w:val="Heading2"/>
      </w:pPr>
      <w:bookmarkStart w:id="0" w:name="_Toc235607235"/>
      <w:r w:rsidRPr="00554D42">
        <w:lastRenderedPageBreak/>
        <w:t>PARTIE 1 – GÉNÉRALITÉS</w:t>
      </w:r>
      <w:bookmarkEnd w:id="0"/>
    </w:p>
    <w:p w14:paraId="12A123B4" w14:textId="77777777" w:rsidR="00561580" w:rsidRPr="00190D0E" w:rsidRDefault="00000000" w:rsidP="00190D0E">
      <w:pPr>
        <w:pStyle w:val="Heading3"/>
      </w:pPr>
      <w:bookmarkStart w:id="1" w:name="_Toc235607236"/>
      <w:r w:rsidRPr="00190D0E">
        <w:t>1.1 Portée</w:t>
      </w:r>
      <w:bookmarkEnd w:id="1"/>
    </w:p>
    <w:p w14:paraId="4AE368A9" w14:textId="2AE919F7" w:rsidR="00561580" w:rsidRPr="00554D42" w:rsidRDefault="00000000">
      <w:pPr>
        <w:spacing w:line="360" w:lineRule="auto"/>
        <w:rPr>
          <w:rFonts w:ascii="Plus Jakarta Sans" w:hAnsi="Plus Jakarta Sans"/>
          <w:sz w:val="20"/>
          <w:szCs w:val="20"/>
        </w:rPr>
      </w:pPr>
      <w:r w:rsidRPr="00554D42">
        <w:rPr>
          <w:rFonts w:ascii="Plus Jakarta Sans" w:hAnsi="Plus Jakarta Sans"/>
          <w:sz w:val="20"/>
          <w:szCs w:val="20"/>
        </w:rPr>
        <w:t>La présente spécification couvre le SmartD Clean Power VFD, un variateur de fréquence (VFD). Toutes les exigences ci-dessous s'appliquent, sauf indication contraire.</w:t>
      </w:r>
    </w:p>
    <w:p w14:paraId="1133050C" w14:textId="77777777" w:rsidR="00561580" w:rsidRDefault="00000000" w:rsidP="00190D0E">
      <w:pPr>
        <w:pStyle w:val="Heading3"/>
      </w:pPr>
      <w:bookmarkStart w:id="2" w:name="_Toc235607237"/>
      <w:r>
        <w:t>1.2 Règles et normes applicables</w:t>
      </w:r>
      <w:bookmarkEnd w:id="2"/>
    </w:p>
    <w:p w14:paraId="6D55552E" w14:textId="77777777" w:rsidR="00561580" w:rsidRPr="00554D42" w:rsidRDefault="00000000">
      <w:pPr>
        <w:spacing w:line="360" w:lineRule="auto"/>
        <w:rPr>
          <w:rFonts w:ascii="Plus Jakarta Sans" w:hAnsi="Plus Jakarta Sans"/>
          <w:sz w:val="20"/>
          <w:szCs w:val="20"/>
        </w:rPr>
      </w:pPr>
      <w:r w:rsidRPr="00554D42">
        <w:rPr>
          <w:rFonts w:ascii="Plus Jakarta Sans" w:hAnsi="Plus Jakarta Sans"/>
          <w:sz w:val="20"/>
          <w:szCs w:val="20"/>
        </w:rPr>
        <w:t>Le VFD doit être conforme aux exigences suivantes :</w:t>
      </w:r>
    </w:p>
    <w:p w14:paraId="7DB1ABE9" w14:textId="77777777" w:rsidR="00561580" w:rsidRPr="00554D42" w:rsidRDefault="00000000">
      <w:pPr>
        <w:spacing w:line="360" w:lineRule="auto"/>
        <w:rPr>
          <w:rFonts w:ascii="Plus Jakarta Sans" w:hAnsi="Plus Jakarta Sans"/>
          <w:sz w:val="20"/>
          <w:szCs w:val="20"/>
        </w:rPr>
      </w:pPr>
      <w:r w:rsidRPr="00554D42">
        <w:rPr>
          <w:rFonts w:ascii="Plus Jakarta Sans" w:hAnsi="Plus Jakarta Sans"/>
          <w:sz w:val="20"/>
          <w:szCs w:val="20"/>
        </w:rPr>
        <w:t>A. Normes de sécurité de la National Electrical Manufacturers Association (NEMA) relatives à la construction, ainsi que guide de sélection, d'installation et d'exploitation des systèmes d'entraînement à vitesse variable.</w:t>
      </w:r>
    </w:p>
    <w:p w14:paraId="07AB2B9E" w14:textId="63BD2024" w:rsidR="00561580" w:rsidRPr="00554D42" w:rsidRDefault="0085762E">
      <w:pPr>
        <w:spacing w:line="360" w:lineRule="auto"/>
        <w:rPr>
          <w:rFonts w:ascii="Plus Jakarta Sans" w:hAnsi="Plus Jakarta Sans"/>
          <w:sz w:val="20"/>
          <w:szCs w:val="20"/>
        </w:rPr>
      </w:pPr>
      <w:r>
        <w:rPr>
          <w:rFonts w:ascii="Plus Jakarta Sans" w:hAnsi="Plus Jakarta Sans"/>
          <w:sz w:val="20"/>
          <w:szCs w:val="20"/>
        </w:rPr>
        <w:t>B. Homologation Underwriters Laboratories (cULus), conformément à UL 61800-5-1</w:t>
      </w:r>
    </w:p>
    <w:p w14:paraId="4CB512AE" w14:textId="1C6012D4" w:rsidR="00561580" w:rsidRPr="00554D42" w:rsidRDefault="0085762E" w:rsidP="00CB36B0">
      <w:pPr>
        <w:spacing w:line="360" w:lineRule="auto"/>
        <w:rPr>
          <w:rFonts w:ascii="Plus Jakarta Sans" w:hAnsi="Plus Jakarta Sans"/>
          <w:sz w:val="20"/>
          <w:szCs w:val="20"/>
        </w:rPr>
      </w:pPr>
      <w:r>
        <w:rPr>
          <w:rFonts w:ascii="Plus Jakarta Sans" w:hAnsi="Plus Jakarta Sans"/>
          <w:sz w:val="20"/>
          <w:szCs w:val="20"/>
        </w:rPr>
        <w:t>C. Commission électrotechnique internationale (</w:t>
      </w:r>
      <w:r w:rsidR="00EA0E72">
        <w:rPr>
          <w:rFonts w:ascii="Plus Jakarta Sans" w:hAnsi="Plus Jakarta Sans"/>
          <w:sz w:val="20"/>
          <w:szCs w:val="20"/>
        </w:rPr>
        <w:t>CEI</w:t>
      </w:r>
      <w:r>
        <w:rPr>
          <w:rFonts w:ascii="Plus Jakarta Sans" w:hAnsi="Plus Jakarta Sans"/>
          <w:sz w:val="20"/>
          <w:szCs w:val="20"/>
        </w:rPr>
        <w:t>) 61800-5-1 et Amendement 1</w:t>
      </w:r>
    </w:p>
    <w:p w14:paraId="599A8596" w14:textId="089081D1" w:rsidR="00561580" w:rsidRPr="00554D42" w:rsidRDefault="0085762E">
      <w:pPr>
        <w:spacing w:line="360" w:lineRule="auto"/>
        <w:rPr>
          <w:rFonts w:ascii="Plus Jakarta Sans" w:hAnsi="Plus Jakarta Sans"/>
          <w:color w:val="FF0000"/>
          <w:sz w:val="20"/>
          <w:szCs w:val="20"/>
        </w:rPr>
      </w:pPr>
      <w:r>
        <w:rPr>
          <w:rFonts w:ascii="Plus Jakarta Sans" w:hAnsi="Plus Jakarta Sans"/>
          <w:sz w:val="20"/>
          <w:szCs w:val="20"/>
        </w:rPr>
        <w:t xml:space="preserve">D. Émissions CEM : </w:t>
      </w:r>
      <w:r w:rsidR="00EA0E72">
        <w:rPr>
          <w:rFonts w:ascii="Plus Jakarta Sans" w:hAnsi="Plus Jakarta Sans"/>
          <w:sz w:val="20"/>
          <w:szCs w:val="20"/>
        </w:rPr>
        <w:t>CEI</w:t>
      </w:r>
      <w:r>
        <w:rPr>
          <w:rFonts w:ascii="Plus Jakarta Sans" w:hAnsi="Plus Jakarta Sans"/>
          <w:sz w:val="20"/>
          <w:szCs w:val="20"/>
        </w:rPr>
        <w:t xml:space="preserve"> 61800-3:2017, environnement 2, catégorie C3</w:t>
      </w:r>
    </w:p>
    <w:p w14:paraId="1803A64F" w14:textId="7229A610" w:rsidR="00561580" w:rsidRPr="00554D42" w:rsidRDefault="0085762E">
      <w:pPr>
        <w:spacing w:line="360" w:lineRule="auto"/>
        <w:rPr>
          <w:rFonts w:ascii="Plus Jakarta Sans" w:hAnsi="Plus Jakarta Sans"/>
          <w:sz w:val="20"/>
          <w:szCs w:val="20"/>
        </w:rPr>
      </w:pPr>
      <w:r>
        <w:rPr>
          <w:rFonts w:ascii="Plus Jakarta Sans" w:hAnsi="Plus Jakarta Sans"/>
          <w:sz w:val="20"/>
          <w:szCs w:val="20"/>
        </w:rPr>
        <w:t xml:space="preserve">E. Immunité CEM : </w:t>
      </w:r>
      <w:r w:rsidR="00EA0E72">
        <w:rPr>
          <w:rFonts w:ascii="Plus Jakarta Sans" w:hAnsi="Plus Jakarta Sans"/>
          <w:sz w:val="20"/>
          <w:szCs w:val="20"/>
        </w:rPr>
        <w:t>CEI</w:t>
      </w:r>
      <w:r>
        <w:rPr>
          <w:rFonts w:ascii="Plus Jakarta Sans" w:hAnsi="Plus Jakarta Sans"/>
          <w:sz w:val="20"/>
          <w:szCs w:val="20"/>
        </w:rPr>
        <w:t xml:space="preserve"> 61000-4-2, -3, -4, -5, -6, -11, -34</w:t>
      </w:r>
    </w:p>
    <w:p w14:paraId="5F0FDDDE" w14:textId="60E1C1D9" w:rsidR="00561580" w:rsidRPr="00554D42" w:rsidRDefault="0085762E">
      <w:pPr>
        <w:spacing w:line="360" w:lineRule="auto"/>
        <w:rPr>
          <w:rFonts w:ascii="Plus Jakarta Sans" w:hAnsi="Plus Jakarta Sans"/>
          <w:color w:val="FF0000"/>
          <w:sz w:val="20"/>
          <w:szCs w:val="20"/>
        </w:rPr>
      </w:pPr>
      <w:r w:rsidRPr="0085762E">
        <w:rPr>
          <w:rFonts w:ascii="Plus Jakarta Sans" w:hAnsi="Plus Jakarta Sans"/>
          <w:sz w:val="20"/>
          <w:szCs w:val="20"/>
        </w:rPr>
        <w:t>F. Harmoniques : IEEE 519</w:t>
      </w:r>
    </w:p>
    <w:p w14:paraId="7EBF7E30" w14:textId="101249D8" w:rsidR="00561580" w:rsidRPr="00554D42" w:rsidRDefault="0085762E">
      <w:pPr>
        <w:spacing w:line="360" w:lineRule="auto"/>
        <w:rPr>
          <w:rFonts w:ascii="Plus Jakarta Sans" w:hAnsi="Plus Jakarta Sans"/>
          <w:color w:val="172B4D"/>
          <w:sz w:val="20"/>
          <w:szCs w:val="20"/>
          <w:highlight w:val="white"/>
        </w:rPr>
      </w:pPr>
      <w:r>
        <w:rPr>
          <w:rFonts w:ascii="Plus Jakarta Sans" w:hAnsi="Plus Jakarta Sans"/>
          <w:sz w:val="20"/>
          <w:szCs w:val="20"/>
        </w:rPr>
        <w:t xml:space="preserve">G. </w:t>
      </w:r>
      <w:r w:rsidR="00EA0E72">
        <w:rPr>
          <w:rFonts w:ascii="Plus Jakarta Sans" w:hAnsi="Plus Jakarta Sans"/>
          <w:sz w:val="20"/>
          <w:szCs w:val="20"/>
        </w:rPr>
        <w:t>CEI</w:t>
      </w:r>
      <w:r>
        <w:rPr>
          <w:rFonts w:ascii="Plus Jakarta Sans" w:hAnsi="Plus Jakarta Sans"/>
          <w:sz w:val="20"/>
          <w:szCs w:val="20"/>
        </w:rPr>
        <w:t xml:space="preserve"> 61800-2:2021, Entraînements électriques de puissance à vitesse variable - Exigences générales - Spécifications de dimensionnement pour les systèmes d'entraînement de puissance à courant alternatif et fréquence variable, basse tension.</w:t>
      </w:r>
    </w:p>
    <w:p w14:paraId="561E6BF7" w14:textId="594503AE" w:rsidR="00561580" w:rsidRPr="00554D42" w:rsidRDefault="0085762E">
      <w:pPr>
        <w:spacing w:line="360" w:lineRule="auto"/>
        <w:rPr>
          <w:rFonts w:ascii="Plus Jakarta Sans" w:hAnsi="Plus Jakarta Sans"/>
          <w:sz w:val="20"/>
          <w:szCs w:val="20"/>
          <w:highlight w:val="white"/>
        </w:rPr>
      </w:pPr>
      <w:r>
        <w:rPr>
          <w:rFonts w:ascii="Plus Jakarta Sans" w:hAnsi="Plus Jakarta Sans"/>
          <w:sz w:val="20"/>
          <w:szCs w:val="20"/>
          <w:highlight w:val="white"/>
        </w:rPr>
        <w:t>H. Marquage CE :</w:t>
      </w:r>
    </w:p>
    <w:p w14:paraId="6820B659" w14:textId="77777777" w:rsidR="00561580" w:rsidRPr="00554D42" w:rsidRDefault="00000000">
      <w:pPr>
        <w:numPr>
          <w:ilvl w:val="0"/>
          <w:numId w:val="1"/>
        </w:numPr>
        <w:pBdr>
          <w:top w:val="nil"/>
          <w:left w:val="nil"/>
          <w:bottom w:val="nil"/>
          <w:right w:val="nil"/>
          <w:between w:val="nil"/>
        </w:pBdr>
        <w:spacing w:line="360" w:lineRule="auto"/>
        <w:rPr>
          <w:rFonts w:ascii="Plus Jakarta Sans" w:hAnsi="Plus Jakarta Sans"/>
          <w:sz w:val="20"/>
          <w:szCs w:val="20"/>
          <w:highlight w:val="white"/>
        </w:rPr>
      </w:pPr>
      <w:r w:rsidRPr="00554D42">
        <w:rPr>
          <w:rFonts w:ascii="Plus Jakarta Sans" w:hAnsi="Plus Jakarta Sans"/>
          <w:sz w:val="20"/>
          <w:szCs w:val="20"/>
          <w:highlight w:val="white"/>
        </w:rPr>
        <w:t>Directive basse tension 2014/35/UE (DBT),</w:t>
      </w:r>
    </w:p>
    <w:p w14:paraId="4A006972" w14:textId="77777777" w:rsidR="00561580" w:rsidRPr="00554D42" w:rsidRDefault="00000000">
      <w:pPr>
        <w:numPr>
          <w:ilvl w:val="0"/>
          <w:numId w:val="1"/>
        </w:numPr>
        <w:pBdr>
          <w:top w:val="nil"/>
          <w:left w:val="nil"/>
          <w:bottom w:val="nil"/>
          <w:right w:val="nil"/>
          <w:between w:val="nil"/>
        </w:pBdr>
        <w:spacing w:line="360" w:lineRule="auto"/>
        <w:rPr>
          <w:rFonts w:ascii="Plus Jakarta Sans" w:hAnsi="Plus Jakarta Sans"/>
          <w:sz w:val="20"/>
          <w:szCs w:val="20"/>
          <w:highlight w:val="white"/>
        </w:rPr>
      </w:pPr>
      <w:r w:rsidRPr="00554D42">
        <w:rPr>
          <w:rFonts w:ascii="Plus Jakarta Sans" w:hAnsi="Plus Jakarta Sans"/>
          <w:sz w:val="20"/>
          <w:szCs w:val="20"/>
          <w:highlight w:val="white"/>
        </w:rPr>
        <w:t>Directive 2014/30/UE relative à la compatibilité électromagnétique (CEM)</w:t>
      </w:r>
    </w:p>
    <w:p w14:paraId="0CDA1096" w14:textId="77777777" w:rsidR="00561580" w:rsidRPr="00554D42" w:rsidRDefault="00000000">
      <w:pPr>
        <w:numPr>
          <w:ilvl w:val="0"/>
          <w:numId w:val="1"/>
        </w:numPr>
        <w:pBdr>
          <w:top w:val="nil"/>
          <w:left w:val="nil"/>
          <w:bottom w:val="nil"/>
          <w:right w:val="nil"/>
          <w:between w:val="nil"/>
        </w:pBdr>
        <w:spacing w:line="360" w:lineRule="auto"/>
        <w:rPr>
          <w:rFonts w:ascii="Plus Jakarta Sans" w:hAnsi="Plus Jakarta Sans"/>
          <w:sz w:val="20"/>
          <w:szCs w:val="20"/>
          <w:highlight w:val="white"/>
        </w:rPr>
      </w:pPr>
      <w:r w:rsidRPr="00554D42">
        <w:rPr>
          <w:rFonts w:ascii="Plus Jakarta Sans" w:hAnsi="Plus Jakarta Sans"/>
          <w:sz w:val="20"/>
          <w:szCs w:val="20"/>
          <w:highlight w:val="white"/>
        </w:rPr>
        <w:t>Règlement (UE) 2019/1781 relatif à l'écoconception</w:t>
      </w:r>
    </w:p>
    <w:p w14:paraId="24BAF9A0" w14:textId="77777777" w:rsidR="00561580" w:rsidRPr="00554D42" w:rsidRDefault="00000000">
      <w:pPr>
        <w:numPr>
          <w:ilvl w:val="0"/>
          <w:numId w:val="1"/>
        </w:numPr>
        <w:pBdr>
          <w:top w:val="nil"/>
          <w:left w:val="nil"/>
          <w:bottom w:val="nil"/>
          <w:right w:val="nil"/>
          <w:between w:val="nil"/>
        </w:pBdr>
        <w:spacing w:line="360" w:lineRule="auto"/>
        <w:rPr>
          <w:rFonts w:ascii="Plus Jakarta Sans" w:hAnsi="Plus Jakarta Sans"/>
          <w:sz w:val="20"/>
          <w:szCs w:val="20"/>
          <w:highlight w:val="white"/>
        </w:rPr>
      </w:pPr>
      <w:r w:rsidRPr="00554D42">
        <w:rPr>
          <w:rFonts w:ascii="Plus Jakarta Sans" w:hAnsi="Plus Jakarta Sans"/>
          <w:sz w:val="20"/>
          <w:szCs w:val="20"/>
          <w:highlight w:val="white"/>
        </w:rPr>
        <w:t>Directive 2011/65/UE relative à la limitation de l'utilisation de certaines substances dangereuses (RoHS).</w:t>
      </w:r>
    </w:p>
    <w:p w14:paraId="66BB36C1" w14:textId="1D9FEA1C" w:rsidR="00554D42" w:rsidRPr="00554D42" w:rsidRDefault="00190D0E" w:rsidP="00190D0E">
      <w:pPr>
        <w:pStyle w:val="Heading3"/>
      </w:pPr>
      <w:bookmarkStart w:id="3" w:name="_Toc235607238"/>
      <w:r>
        <w:t>1.3 Qualifications du fabricant</w:t>
      </w:r>
      <w:bookmarkEnd w:id="3"/>
    </w:p>
    <w:p w14:paraId="5A822AC1" w14:textId="432AF2FF"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A. Le fabricant du VFD doit exercer régulièrement des activités de conception et de fabrication de variateurs</w:t>
      </w:r>
      <w:r w:rsidR="00EA0E72">
        <w:rPr>
          <w:rFonts w:ascii="Plus Jakarta Sans" w:hAnsi="Plus Jakarta Sans"/>
          <w:sz w:val="20"/>
          <w:szCs w:val="20"/>
        </w:rPr>
        <w:t xml:space="preserve"> </w:t>
      </w:r>
      <w:r w:rsidRPr="00554D42">
        <w:rPr>
          <w:rFonts w:ascii="Plus Jakarta Sans" w:hAnsi="Plus Jakarta Sans"/>
          <w:sz w:val="20"/>
          <w:szCs w:val="20"/>
        </w:rPr>
        <w:t>de fréquence.</w:t>
      </w:r>
    </w:p>
    <w:p w14:paraId="4EAF1417"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B. Le VFD doit être conçu et fabriqué en Amérique du Nord.</w:t>
      </w:r>
    </w:p>
    <w:p w14:paraId="2DA2985D"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C. Le fabricant doit exploiter un système documenté de gestion de la qualité couvrant la conception,</w:t>
      </w:r>
    </w:p>
    <w:p w14:paraId="09D1FE1E" w14:textId="77777777" w:rsidR="00554D42" w:rsidRDefault="00554D42" w:rsidP="00190D0E">
      <w:pPr>
        <w:spacing w:line="360" w:lineRule="auto"/>
        <w:rPr>
          <w:rFonts w:ascii="Plus Jakarta Sans" w:hAnsi="Plus Jakarta Sans"/>
          <w:sz w:val="20"/>
          <w:szCs w:val="20"/>
        </w:rPr>
      </w:pPr>
      <w:proofErr w:type="gramStart"/>
      <w:r w:rsidRPr="00554D42">
        <w:rPr>
          <w:rFonts w:ascii="Plus Jakarta Sans" w:hAnsi="Plus Jakarta Sans"/>
          <w:sz w:val="20"/>
          <w:szCs w:val="20"/>
        </w:rPr>
        <w:t>la</w:t>
      </w:r>
      <w:proofErr w:type="gramEnd"/>
      <w:r w:rsidRPr="00554D42">
        <w:rPr>
          <w:rFonts w:ascii="Plus Jakarta Sans" w:hAnsi="Plus Jakarta Sans"/>
          <w:sz w:val="20"/>
          <w:szCs w:val="20"/>
        </w:rPr>
        <w:t xml:space="preserve"> production et les essais finaux.</w:t>
      </w:r>
    </w:p>
    <w:p w14:paraId="7E020E56" w14:textId="77777777" w:rsidR="009D3C9C" w:rsidRDefault="009D3C9C">
      <w:pPr>
        <w:rPr>
          <w:rFonts w:ascii="Sora" w:hAnsi="Sora" w:cs="Sora"/>
          <w:color w:val="4FDA6E"/>
          <w:sz w:val="28"/>
          <w:szCs w:val="28"/>
        </w:rPr>
      </w:pPr>
      <w:bookmarkStart w:id="4" w:name="_Toc235607239"/>
      <w:r>
        <w:br w:type="page"/>
      </w:r>
    </w:p>
    <w:p w14:paraId="3E14ED48" w14:textId="5BEBBEC2" w:rsidR="00554D42" w:rsidRPr="00554D42" w:rsidRDefault="00554D42" w:rsidP="00190D0E">
      <w:pPr>
        <w:pStyle w:val="Heading3"/>
      </w:pPr>
      <w:r w:rsidRPr="00554D42">
        <w:lastRenderedPageBreak/>
        <w:t>1.4 Documents à soumettre</w:t>
      </w:r>
      <w:bookmarkEnd w:id="4"/>
    </w:p>
    <w:p w14:paraId="43DFB56D"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A. Fiches techniques des produits, y compris les caractéristiques nominales, les dimensions et les masses.</w:t>
      </w:r>
    </w:p>
    <w:p w14:paraId="7840015E"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B. Schémas de câblage et désignation des bornes.</w:t>
      </w:r>
    </w:p>
    <w:p w14:paraId="62448019" w14:textId="0FF5316D"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C. Données de performance harmonique démontrant la conformité à IEEE 519 (THDi de 3 % ou moins à des niveaux de charge</w:t>
      </w:r>
      <w:r w:rsidR="00EA0E72">
        <w:rPr>
          <w:rFonts w:ascii="Plus Jakarta Sans" w:hAnsi="Plus Jakarta Sans"/>
          <w:sz w:val="20"/>
          <w:szCs w:val="20"/>
        </w:rPr>
        <w:t xml:space="preserve"> </w:t>
      </w:r>
      <w:r w:rsidRPr="00554D42">
        <w:rPr>
          <w:rFonts w:ascii="Plus Jakarta Sans" w:hAnsi="Plus Jakarta Sans"/>
          <w:sz w:val="20"/>
          <w:szCs w:val="20"/>
        </w:rPr>
        <w:t>égaux ou supérieurs à 50 %).</w:t>
      </w:r>
    </w:p>
    <w:p w14:paraId="78F33B9C"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D. Données de rendement et de pertes conformément à IEC 61800-9-2.</w:t>
      </w:r>
    </w:p>
    <w:p w14:paraId="2642CB88"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E. Certificats de conformité : cULus selon UL 61800-5-1 et déclaration UE de conformité.</w:t>
      </w:r>
    </w:p>
    <w:p w14:paraId="2568019B"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F. Manuels d'installation, d'exploitation et de maintenance.</w:t>
      </w:r>
    </w:p>
    <w:p w14:paraId="47BDAAAA" w14:textId="2812FB43" w:rsid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G. Déclaration de garantie du fabricant</w:t>
      </w:r>
    </w:p>
    <w:p w14:paraId="1A7938F4" w14:textId="77777777" w:rsidR="00554D42" w:rsidRPr="00554D42" w:rsidRDefault="00554D42" w:rsidP="00190D0E">
      <w:pPr>
        <w:pStyle w:val="Heading3"/>
      </w:pPr>
      <w:bookmarkStart w:id="5" w:name="_Toc235607240"/>
      <w:r w:rsidRPr="00554D42">
        <w:t>1.5 Livraison, entreposage et manutention</w:t>
      </w:r>
      <w:bookmarkEnd w:id="5"/>
    </w:p>
    <w:p w14:paraId="5F655099" w14:textId="62824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A. Le VFD doit être livré dans l'emballage d'origine du fabricant, clairement identifié par le numéro de modèle</w:t>
      </w:r>
      <w:r w:rsidR="00EA0E72">
        <w:rPr>
          <w:rFonts w:ascii="Plus Jakarta Sans" w:hAnsi="Plus Jakarta Sans"/>
          <w:sz w:val="20"/>
          <w:szCs w:val="20"/>
        </w:rPr>
        <w:t xml:space="preserve"> </w:t>
      </w:r>
      <w:r w:rsidRPr="00554D42">
        <w:rPr>
          <w:rFonts w:ascii="Plus Jakarta Sans" w:hAnsi="Plus Jakarta Sans"/>
          <w:sz w:val="20"/>
          <w:szCs w:val="20"/>
        </w:rPr>
        <w:t>et les caractéristiques nominales.</w:t>
      </w:r>
    </w:p>
    <w:p w14:paraId="4CD1E941" w14:textId="58ED7E8D"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B. Le VFD doit être entreposé dans les conditions ambiantes d'entreposage définies dans la fiche technique du produit.</w:t>
      </w:r>
    </w:p>
    <w:p w14:paraId="6DABDEA5" w14:textId="05B275E2"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C. Le VFD doit être manutentionné conformément aux instructions du fabricant afin d'éviter tout dommage mécanique</w:t>
      </w:r>
      <w:r w:rsidR="00EA0E72">
        <w:rPr>
          <w:rFonts w:ascii="Plus Jakarta Sans" w:hAnsi="Plus Jakarta Sans"/>
          <w:sz w:val="20"/>
          <w:szCs w:val="20"/>
        </w:rPr>
        <w:t xml:space="preserve"> </w:t>
      </w:r>
      <w:r w:rsidRPr="00554D42">
        <w:rPr>
          <w:rFonts w:ascii="Plus Jakarta Sans" w:hAnsi="Plus Jakarta Sans"/>
          <w:sz w:val="20"/>
          <w:szCs w:val="20"/>
        </w:rPr>
        <w:t>ou électrostatique.</w:t>
      </w:r>
    </w:p>
    <w:p w14:paraId="758960F7" w14:textId="77777777" w:rsidR="00554D42" w:rsidRPr="00554D42" w:rsidRDefault="00554D42" w:rsidP="00190D0E">
      <w:pPr>
        <w:pStyle w:val="Heading3"/>
      </w:pPr>
      <w:bookmarkStart w:id="6" w:name="_Toc235607241"/>
      <w:r w:rsidRPr="00554D42">
        <w:t>1.6 Garantie</w:t>
      </w:r>
      <w:bookmarkEnd w:id="6"/>
    </w:p>
    <w:p w14:paraId="3259DBD7" w14:textId="77777777"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A. Le fabricant doit garantir le VFD contre les défauts de matériaux et de fabrication pendant une période</w:t>
      </w:r>
    </w:p>
    <w:p w14:paraId="3C53A78A" w14:textId="77777777" w:rsidR="00554D42" w:rsidRPr="00554D42" w:rsidRDefault="00554D42" w:rsidP="00190D0E">
      <w:pPr>
        <w:spacing w:line="360" w:lineRule="auto"/>
        <w:rPr>
          <w:rFonts w:ascii="Plus Jakarta Sans" w:hAnsi="Plus Jakarta Sans"/>
          <w:sz w:val="20"/>
          <w:szCs w:val="20"/>
        </w:rPr>
      </w:pPr>
      <w:proofErr w:type="gramStart"/>
      <w:r w:rsidRPr="00554D42">
        <w:rPr>
          <w:rFonts w:ascii="Plus Jakarta Sans" w:hAnsi="Plus Jakarta Sans"/>
          <w:sz w:val="20"/>
          <w:szCs w:val="20"/>
        </w:rPr>
        <w:t>de</w:t>
      </w:r>
      <w:proofErr w:type="gramEnd"/>
      <w:r w:rsidRPr="00554D42">
        <w:rPr>
          <w:rFonts w:ascii="Plus Jakarta Sans" w:hAnsi="Plus Jakarta Sans"/>
          <w:sz w:val="20"/>
          <w:szCs w:val="20"/>
        </w:rPr>
        <w:t xml:space="preserve"> dix-huit (18) mois à compter de la date d'expédition.</w:t>
      </w:r>
    </w:p>
    <w:p w14:paraId="2A228EE2" w14:textId="704F2A34" w:rsidR="00554D42" w:rsidRPr="00554D42" w:rsidRDefault="00554D42" w:rsidP="00190D0E">
      <w:pPr>
        <w:spacing w:line="360" w:lineRule="auto"/>
        <w:rPr>
          <w:rFonts w:ascii="Plus Jakarta Sans" w:hAnsi="Plus Jakarta Sans"/>
          <w:sz w:val="20"/>
          <w:szCs w:val="20"/>
        </w:rPr>
      </w:pPr>
      <w:r w:rsidRPr="00554D42">
        <w:rPr>
          <w:rFonts w:ascii="Plus Jakarta Sans" w:hAnsi="Plus Jakarta Sans"/>
          <w:sz w:val="20"/>
          <w:szCs w:val="20"/>
        </w:rPr>
        <w:t>B. Des modalités de garantie prolongée doivent être offertes par le fabricant sur demande.</w:t>
      </w:r>
    </w:p>
    <w:p w14:paraId="55440263" w14:textId="77777777" w:rsidR="00520DFF" w:rsidRDefault="00520DFF">
      <w:pPr>
        <w:rPr>
          <w:rFonts w:ascii="Sora" w:hAnsi="Sora" w:cs="Sora"/>
          <w:b/>
          <w:color w:val="4FDA6E"/>
          <w:sz w:val="32"/>
          <w:szCs w:val="32"/>
        </w:rPr>
      </w:pPr>
      <w:r>
        <w:br w:type="page"/>
      </w:r>
    </w:p>
    <w:p w14:paraId="53BBA2C4" w14:textId="7EA32EB6" w:rsidR="00561580" w:rsidRPr="00554D42" w:rsidRDefault="00000000" w:rsidP="00554D42">
      <w:pPr>
        <w:pStyle w:val="Heading2"/>
      </w:pPr>
      <w:bookmarkStart w:id="7" w:name="_Toc235607242"/>
      <w:r w:rsidRPr="00554D42">
        <w:lastRenderedPageBreak/>
        <w:t>PARTIE 2 – VARIATEURS DE FRÉQUENCE</w:t>
      </w:r>
      <w:bookmarkEnd w:id="7"/>
    </w:p>
    <w:p w14:paraId="60600B06" w14:textId="77777777" w:rsidR="00561580" w:rsidRDefault="00000000" w:rsidP="00190D0E">
      <w:pPr>
        <w:pStyle w:val="Heading3"/>
      </w:pPr>
      <w:bookmarkStart w:id="8" w:name="_Toc235607243"/>
      <w:r>
        <w:t>2.1 Généralités</w:t>
      </w:r>
      <w:bookmarkEnd w:id="8"/>
    </w:p>
    <w:p w14:paraId="5F93CC81" w14:textId="77777777" w:rsidR="00561580" w:rsidRPr="00520DFF" w:rsidRDefault="00000000" w:rsidP="0078475B">
      <w:pPr>
        <w:spacing w:line="360" w:lineRule="auto"/>
        <w:rPr>
          <w:rFonts w:ascii="Plus Jakarta Sans" w:hAnsi="Plus Jakarta Sans"/>
          <w:sz w:val="20"/>
          <w:szCs w:val="20"/>
        </w:rPr>
      </w:pPr>
      <w:r w:rsidRPr="00520DFF">
        <w:rPr>
          <w:rFonts w:ascii="Plus Jakarta Sans" w:hAnsi="Plus Jakarta Sans"/>
          <w:sz w:val="20"/>
          <w:szCs w:val="20"/>
        </w:rPr>
        <w:t>La présente spécification couvre les variateurs de vitesse CA destinés aux applications industrielles.</w:t>
      </w:r>
    </w:p>
    <w:p w14:paraId="0041CAAC" w14:textId="77777777" w:rsidR="00520DFF" w:rsidRPr="00520DFF" w:rsidRDefault="00520DFF" w:rsidP="0078475B">
      <w:pPr>
        <w:spacing w:line="360" w:lineRule="auto"/>
        <w:rPr>
          <w:rFonts w:ascii="Plus Jakarta Sans" w:hAnsi="Plus Jakarta Sans"/>
          <w:sz w:val="20"/>
          <w:szCs w:val="20"/>
        </w:rPr>
      </w:pPr>
      <w:r w:rsidRPr="00520DFF">
        <w:rPr>
          <w:rFonts w:ascii="Plus Jakarta Sans" w:hAnsi="Plus Jakarta Sans"/>
          <w:sz w:val="20"/>
          <w:szCs w:val="20"/>
        </w:rPr>
        <w:t>Base de conception : SmartD Clean Power VFD, fabriqué par SmartD Technologies Inc. (Montréal,</w:t>
      </w:r>
    </w:p>
    <w:p w14:paraId="44C8ED22" w14:textId="7D32FEA4" w:rsidR="00520DFF" w:rsidRPr="00520DFF" w:rsidRDefault="00520DFF" w:rsidP="0078475B">
      <w:pPr>
        <w:spacing w:line="360" w:lineRule="auto"/>
        <w:rPr>
          <w:rFonts w:ascii="Plus Jakarta Sans" w:hAnsi="Plus Jakarta Sans"/>
          <w:sz w:val="20"/>
          <w:szCs w:val="20"/>
        </w:rPr>
      </w:pPr>
      <w:r w:rsidRPr="00520DFF">
        <w:rPr>
          <w:rFonts w:ascii="Plus Jakarta Sans" w:hAnsi="Plus Jakarta Sans"/>
          <w:sz w:val="20"/>
          <w:szCs w:val="20"/>
        </w:rPr>
        <w:t>Québec, Canada). Les produits de remplacement ne doivent être considérés que s'ils démontrent qu'ils satisfont à toutes</w:t>
      </w:r>
      <w:r w:rsidR="00A74CB0">
        <w:rPr>
          <w:rFonts w:ascii="Plus Jakarta Sans" w:hAnsi="Plus Jakarta Sans"/>
          <w:sz w:val="20"/>
          <w:szCs w:val="20"/>
        </w:rPr>
        <w:t xml:space="preserve"> </w:t>
      </w:r>
      <w:r w:rsidRPr="00520DFF">
        <w:rPr>
          <w:rFonts w:ascii="Plus Jakarta Sans" w:hAnsi="Plus Jakarta Sans"/>
          <w:sz w:val="20"/>
          <w:szCs w:val="20"/>
        </w:rPr>
        <w:t>les exigences de la présente spécification.</w:t>
      </w:r>
    </w:p>
    <w:p w14:paraId="44195D36" w14:textId="77777777" w:rsidR="00561580" w:rsidRDefault="00000000" w:rsidP="00190D0E">
      <w:pPr>
        <w:pStyle w:val="Heading3"/>
      </w:pPr>
      <w:bookmarkStart w:id="9" w:name="_Toc235607244"/>
      <w:r>
        <w:t>2.2 Critères de conception</w:t>
      </w:r>
      <w:bookmarkEnd w:id="9"/>
    </w:p>
    <w:p w14:paraId="1C19AD1F" w14:textId="77777777" w:rsidR="00561580" w:rsidRPr="00190D0E" w:rsidRDefault="00000000" w:rsidP="00190D0E">
      <w:pPr>
        <w:pStyle w:val="Heading4"/>
      </w:pPr>
      <w:bookmarkStart w:id="10" w:name="_Toc235607245"/>
      <w:r w:rsidRPr="00190D0E">
        <w:t>2.2.1 Généralités</w:t>
      </w:r>
      <w:bookmarkEnd w:id="10"/>
    </w:p>
    <w:p w14:paraId="20134333" w14:textId="5BB29E8A"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color w:val="000000"/>
          <w:sz w:val="20"/>
          <w:szCs w:val="20"/>
        </w:rPr>
        <w:t>A. La conception matérielle doit maximiser la flexibilité, la robustesse, la maintenabilité et la fiabilité.</w:t>
      </w:r>
    </w:p>
    <w:p w14:paraId="1E05B334" w14:textId="77777777"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sz w:val="20"/>
          <w:szCs w:val="20"/>
        </w:rPr>
        <w:t>B. Les bornes de puissance doivent être dimensionnées pour le courant nominal et faciliter le raccordement</w:t>
      </w:r>
    </w:p>
    <w:p w14:paraId="5BB883CB" w14:textId="77777777" w:rsidR="00561580" w:rsidRPr="00190D0E" w:rsidRDefault="00000000">
      <w:pPr>
        <w:spacing w:line="360" w:lineRule="auto"/>
        <w:rPr>
          <w:rFonts w:ascii="Plus Jakarta Sans" w:hAnsi="Plus Jakarta Sans" w:cs="Sora"/>
          <w:sz w:val="20"/>
          <w:szCs w:val="20"/>
        </w:rPr>
      </w:pPr>
      <w:proofErr w:type="gramStart"/>
      <w:r w:rsidRPr="00190D0E">
        <w:rPr>
          <w:rFonts w:ascii="Plus Jakarta Sans" w:hAnsi="Plus Jakarta Sans" w:cs="Sora"/>
          <w:sz w:val="20"/>
          <w:szCs w:val="20"/>
        </w:rPr>
        <w:t>de</w:t>
      </w:r>
      <w:proofErr w:type="gramEnd"/>
      <w:r w:rsidRPr="00190D0E">
        <w:rPr>
          <w:rFonts w:ascii="Plus Jakarta Sans" w:hAnsi="Plus Jakarta Sans" w:cs="Sora"/>
          <w:sz w:val="20"/>
          <w:szCs w:val="20"/>
        </w:rPr>
        <w:t xml:space="preserve"> tous les conducteurs de puissance.</w:t>
      </w:r>
    </w:p>
    <w:p w14:paraId="50A4DB89" w14:textId="77777777"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sz w:val="20"/>
          <w:szCs w:val="20"/>
        </w:rPr>
        <w:t>C. Chaque calibre de VFD doit comporter au moins deux points de mise à la terre.</w:t>
      </w:r>
    </w:p>
    <w:p w14:paraId="5F86F9F9" w14:textId="762363B7"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sz w:val="20"/>
          <w:szCs w:val="20"/>
        </w:rPr>
        <w:t xml:space="preserve">D. Les bornes de puissance doivent être clairement repérées selon les normes américaines (NEMA) (L1, L2...T3) et les normes IEC (R, </w:t>
      </w:r>
      <w:proofErr w:type="gramStart"/>
      <w:r w:rsidRPr="00190D0E">
        <w:rPr>
          <w:rFonts w:ascii="Plus Jakarta Sans" w:hAnsi="Plus Jakarta Sans" w:cs="Sora"/>
          <w:sz w:val="20"/>
          <w:szCs w:val="20"/>
        </w:rPr>
        <w:t>S...</w:t>
      </w:r>
      <w:proofErr w:type="gramEnd"/>
      <w:r w:rsidRPr="00190D0E">
        <w:rPr>
          <w:rFonts w:ascii="Plus Jakarta Sans" w:hAnsi="Plus Jakarta Sans" w:cs="Sora"/>
          <w:sz w:val="20"/>
          <w:szCs w:val="20"/>
        </w:rPr>
        <w:t>W).</w:t>
      </w:r>
    </w:p>
    <w:p w14:paraId="5830B22D" w14:textId="77777777"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sz w:val="20"/>
          <w:szCs w:val="20"/>
        </w:rPr>
        <w:t>E. Le VFD doit utiliser les plus récentes technologies de composants de puissance, d'intégration, de dissipation thermique et de refroidissement afin de réduire l'encombrement et la masse sans compromettre les performances ni les fonctions.</w:t>
      </w:r>
    </w:p>
    <w:p w14:paraId="5F3057B1" w14:textId="77777777" w:rsidR="00561580" w:rsidRPr="00190D0E" w:rsidRDefault="00000000">
      <w:pPr>
        <w:spacing w:line="360" w:lineRule="auto"/>
        <w:rPr>
          <w:rFonts w:ascii="Plus Jakarta Sans" w:hAnsi="Plus Jakarta Sans" w:cs="Sora"/>
          <w:sz w:val="20"/>
          <w:szCs w:val="20"/>
        </w:rPr>
      </w:pPr>
      <w:r w:rsidRPr="00190D0E">
        <w:rPr>
          <w:rFonts w:ascii="Plus Jakarta Sans" w:hAnsi="Plus Jakarta Sans" w:cs="Sora"/>
          <w:sz w:val="20"/>
          <w:szCs w:val="20"/>
        </w:rPr>
        <w:t>F. L'enveloppe standard du VFD doit être de type NEMA 1 / IP20.</w:t>
      </w:r>
    </w:p>
    <w:p w14:paraId="2656AB2F" w14:textId="00BDDA44" w:rsidR="00561580" w:rsidRPr="00190D0E" w:rsidRDefault="0085762E">
      <w:pPr>
        <w:spacing w:line="360" w:lineRule="auto"/>
        <w:rPr>
          <w:rFonts w:ascii="Plus Jakarta Sans" w:hAnsi="Plus Jakarta Sans" w:cs="Sora"/>
          <w:sz w:val="20"/>
          <w:szCs w:val="20"/>
        </w:rPr>
      </w:pPr>
      <w:r>
        <w:rPr>
          <w:rFonts w:ascii="Plus Jakarta Sans" w:hAnsi="Plus Jakarta Sans" w:cs="Sora"/>
          <w:sz w:val="20"/>
          <w:szCs w:val="20"/>
        </w:rPr>
        <w:t>G. Les dissipateurs des semi-conducteurs de puissance doivent comporter des capteurs de température surveillés par le microprocesseur afin d'éviter les dommages dus à une température excessive ou à une défaillance de ventilateur.</w:t>
      </w:r>
    </w:p>
    <w:p w14:paraId="65F1F0BB" w14:textId="3EEDE0FC" w:rsidR="00561580" w:rsidRPr="00190D0E" w:rsidRDefault="0085762E">
      <w:pPr>
        <w:spacing w:line="360" w:lineRule="auto"/>
        <w:rPr>
          <w:rFonts w:ascii="Plus Jakarta Sans" w:hAnsi="Plus Jakarta Sans" w:cs="Sora"/>
          <w:sz w:val="20"/>
          <w:szCs w:val="20"/>
        </w:rPr>
      </w:pPr>
      <w:r>
        <w:rPr>
          <w:rFonts w:ascii="Plus Jakarta Sans" w:hAnsi="Plus Jakarta Sans" w:cs="Sora"/>
          <w:sz w:val="20"/>
          <w:szCs w:val="20"/>
        </w:rPr>
        <w:t>H. Toutes les tailles de châssis doivent être fournies avec une interface homme-machine électronique (HMI).</w:t>
      </w:r>
    </w:p>
    <w:p w14:paraId="0DAD1ACA" w14:textId="27F2D51A" w:rsidR="00561580" w:rsidRPr="00190D0E" w:rsidRDefault="0085762E">
      <w:pPr>
        <w:spacing w:line="360" w:lineRule="auto"/>
        <w:rPr>
          <w:rFonts w:ascii="Plus Jakarta Sans" w:hAnsi="Plus Jakarta Sans" w:cs="Sora"/>
          <w:sz w:val="20"/>
          <w:szCs w:val="20"/>
        </w:rPr>
      </w:pPr>
      <w:r>
        <w:rPr>
          <w:rFonts w:ascii="Plus Jakarta Sans" w:hAnsi="Plus Jakarta Sans" w:cs="Sora"/>
          <w:sz w:val="20"/>
          <w:szCs w:val="20"/>
        </w:rPr>
        <w:t>I. Un vernis de tropicalisation doit être appliqué sur les zones critiques des circuits imprimés.</w:t>
      </w:r>
    </w:p>
    <w:p w14:paraId="44E97D97" w14:textId="71620D8A" w:rsidR="00561580" w:rsidRPr="00190D0E" w:rsidRDefault="0085762E">
      <w:pPr>
        <w:spacing w:line="360" w:lineRule="auto"/>
        <w:rPr>
          <w:rFonts w:ascii="Plus Jakarta Sans" w:hAnsi="Plus Jakarta Sans" w:cs="Sora"/>
          <w:sz w:val="20"/>
          <w:szCs w:val="20"/>
        </w:rPr>
      </w:pPr>
      <w:r>
        <w:rPr>
          <w:rFonts w:ascii="Plus Jakarta Sans" w:hAnsi="Plus Jakarta Sans" w:cs="Sora"/>
          <w:sz w:val="20"/>
          <w:szCs w:val="20"/>
        </w:rPr>
        <w:t>J. Des presse-étoupes doivent être intégrés pour les câbles de puissance et de commande.</w:t>
      </w:r>
      <w:r>
        <w:rPr>
          <w:rFonts w:ascii="Plus Jakarta Sans" w:hAnsi="Plus Jakarta Sans" w:cs="Sora"/>
          <w:sz w:val="20"/>
          <w:szCs w:val="20"/>
        </w:rPr>
        <w:br/>
        <w:t>K. Un capot vissé doit empêcher l'accès aux parties sous tension.</w:t>
      </w:r>
    </w:p>
    <w:p w14:paraId="65D8662E" w14:textId="77777777" w:rsidR="008474CC" w:rsidRDefault="008474CC">
      <w:pPr>
        <w:rPr>
          <w:rFonts w:ascii="Sora" w:hAnsi="Sora" w:cs="Sora"/>
          <w:color w:val="4FDA6E"/>
          <w:sz w:val="24"/>
          <w:szCs w:val="24"/>
        </w:rPr>
      </w:pPr>
      <w:bookmarkStart w:id="11" w:name="_Toc235607246"/>
      <w:r>
        <w:br w:type="page"/>
      </w:r>
    </w:p>
    <w:p w14:paraId="4C83EB43" w14:textId="44E6D078" w:rsidR="00561580" w:rsidRDefault="00000000" w:rsidP="00190D0E">
      <w:pPr>
        <w:pStyle w:val="Heading4"/>
      </w:pPr>
      <w:r>
        <w:lastRenderedPageBreak/>
        <w:t>2.2.2 Environnement</w:t>
      </w:r>
      <w:bookmarkEnd w:id="11"/>
    </w:p>
    <w:p w14:paraId="7BE54845"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A. Le VFD doit pouvoir fonctionner dans les conditions ambiantes suivantes sans déclassement :</w:t>
      </w:r>
    </w:p>
    <w:p w14:paraId="26128497" w14:textId="52D859AD"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 xml:space="preserve"> -15 à +50 °C (de 50 °C à 60 °C avec déclassement).</w:t>
      </w:r>
    </w:p>
    <w:p w14:paraId="2F7562B5"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B. Le VFD ne doit pas être exposé directement au soleil.</w:t>
      </w:r>
    </w:p>
    <w:p w14:paraId="45588907"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C. L'environnement doit être exempt de gaz corrosifs et explosifs.</w:t>
      </w:r>
    </w:p>
    <w:p w14:paraId="708DB21F" w14:textId="0E705E13"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Les VFD doivent être homologués pour les conditions suivantes :</w:t>
      </w:r>
    </w:p>
    <w:p w14:paraId="06F754A3" w14:textId="2FECEEBB"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1. </w:t>
      </w:r>
      <w:r w:rsidRPr="00190D0E">
        <w:rPr>
          <w:rFonts w:ascii="Plus Jakarta Sans" w:hAnsi="Plus Jakarta Sans"/>
          <w:sz w:val="20"/>
          <w:szCs w:val="20"/>
        </w:rPr>
        <w:tab/>
        <w:t>Classe de résistance à la pollution chimique 3C3, conformément à EN/IEC 60721-3-3</w:t>
      </w:r>
    </w:p>
    <w:p w14:paraId="5976B0FA" w14:textId="2F8F4E95"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2. </w:t>
      </w:r>
      <w:r w:rsidRPr="00190D0E">
        <w:rPr>
          <w:rFonts w:ascii="Plus Jakarta Sans" w:hAnsi="Plus Jakarta Sans"/>
          <w:sz w:val="20"/>
          <w:szCs w:val="20"/>
        </w:rPr>
        <w:tab/>
        <w:t>Classe de résistance à la pollution par la poussière 3S3, conformément à EN/IEC 60721-3-3</w:t>
      </w:r>
    </w:p>
    <w:p w14:paraId="397056C4" w14:textId="440B8E13"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D. Humidité relative : 5 à 95 %, sans condensation, conformément à IEC 60068-2-78</w:t>
      </w:r>
    </w:p>
    <w:p w14:paraId="25BD5EEB"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E. Limites d'altitude en fonctionnement :</w:t>
      </w:r>
    </w:p>
    <w:p w14:paraId="6CEF1C4F" w14:textId="27C66B05" w:rsidR="00561580" w:rsidRPr="00190D0E" w:rsidRDefault="00000000">
      <w:pPr>
        <w:spacing w:line="360" w:lineRule="auto"/>
        <w:ind w:firstLine="720"/>
        <w:rPr>
          <w:rFonts w:ascii="Plus Jakarta Sans" w:hAnsi="Plus Jakarta Sans"/>
          <w:sz w:val="20"/>
          <w:szCs w:val="20"/>
        </w:rPr>
      </w:pPr>
      <w:r w:rsidRPr="00190D0E">
        <w:rPr>
          <w:rFonts w:ascii="Plus Jakarta Sans" w:hAnsi="Plus Jakarta Sans"/>
          <w:sz w:val="20"/>
          <w:szCs w:val="20"/>
        </w:rPr>
        <w:t xml:space="preserve">1. </w:t>
      </w:r>
      <w:r w:rsidRPr="00190D0E">
        <w:rPr>
          <w:rFonts w:ascii="Plus Jakarta Sans" w:hAnsi="Plus Jakarta Sans"/>
          <w:sz w:val="20"/>
          <w:szCs w:val="20"/>
        </w:rPr>
        <w:tab/>
        <w:t>2 000 mètres (6 600 pi) sans déclassement.</w:t>
      </w:r>
    </w:p>
    <w:p w14:paraId="034F8036" w14:textId="128E4244" w:rsidR="00561580" w:rsidRPr="00190D0E" w:rsidRDefault="0085762E">
      <w:pPr>
        <w:spacing w:line="360" w:lineRule="auto"/>
        <w:rPr>
          <w:rFonts w:ascii="Plus Jakarta Sans" w:hAnsi="Plus Jakarta Sans"/>
          <w:sz w:val="20"/>
          <w:szCs w:val="20"/>
        </w:rPr>
      </w:pPr>
      <w:r>
        <w:rPr>
          <w:rFonts w:ascii="Plus Jakarta Sans" w:hAnsi="Plus Jakarta Sans"/>
          <w:sz w:val="20"/>
          <w:szCs w:val="20"/>
        </w:rPr>
        <w:t>F. Le VFD ne doit subir aucun effet défavorable après un entreposage prolongé dans les conditions ambiantes suivantes :</w:t>
      </w:r>
    </w:p>
    <w:p w14:paraId="1BF636CA" w14:textId="02045DD6"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1. </w:t>
      </w:r>
      <w:r w:rsidRPr="00190D0E">
        <w:rPr>
          <w:rFonts w:ascii="Plus Jakarta Sans" w:hAnsi="Plus Jakarta Sans"/>
          <w:sz w:val="20"/>
          <w:szCs w:val="20"/>
        </w:rPr>
        <w:tab/>
        <w:t>Température ambiante : -40 à +70 °C</w:t>
      </w:r>
    </w:p>
    <w:p w14:paraId="4FA0AC71" w14:textId="7C908500"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2. </w:t>
      </w:r>
      <w:r w:rsidRPr="00190D0E">
        <w:rPr>
          <w:rFonts w:ascii="Plus Jakarta Sans" w:hAnsi="Plus Jakarta Sans"/>
          <w:sz w:val="20"/>
          <w:szCs w:val="20"/>
        </w:rPr>
        <w:tab/>
        <w:t>Humidité relative : 5 à 95 %, sans condensation, conformément à IEC 60068-2-3</w:t>
      </w:r>
    </w:p>
    <w:p w14:paraId="62043959" w14:textId="4F4B3BED"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3. </w:t>
      </w:r>
      <w:r w:rsidRPr="00190D0E">
        <w:rPr>
          <w:rFonts w:ascii="Plus Jakarta Sans" w:hAnsi="Plus Jakarta Sans"/>
          <w:sz w:val="20"/>
          <w:szCs w:val="20"/>
        </w:rPr>
        <w:tab/>
        <w:t>Altitude : jusqu'à 5 000 mètres</w:t>
      </w:r>
    </w:p>
    <w:p w14:paraId="5719046A" w14:textId="77777777" w:rsidR="00561580" w:rsidRDefault="00000000" w:rsidP="00190D0E">
      <w:pPr>
        <w:pStyle w:val="Heading4"/>
      </w:pPr>
      <w:bookmarkStart w:id="12" w:name="_Toc235607247"/>
      <w:r>
        <w:t>2.2.3 Alimentation d'entrée</w:t>
      </w:r>
      <w:bookmarkEnd w:id="12"/>
    </w:p>
    <w:p w14:paraId="75CB44B9"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A. L'entrée du VFD doit être conçue pour une alimentation en étoile avec neutre solidement mis à la terre ainsi que pour les réseaux TT et TN.</w:t>
      </w:r>
    </w:p>
    <w:p w14:paraId="121874D5"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A. L'alimentation principale d'entrée du VFD doit être assignée comme suit :</w:t>
      </w:r>
    </w:p>
    <w:p w14:paraId="4F46BA2A" w14:textId="138C400E"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1. </w:t>
      </w:r>
      <w:r w:rsidRPr="00190D0E">
        <w:rPr>
          <w:rFonts w:ascii="Plus Jakarta Sans" w:hAnsi="Plus Jakarta Sans"/>
          <w:sz w:val="20"/>
          <w:szCs w:val="20"/>
        </w:rPr>
        <w:tab/>
        <w:t>Triphasée, 400 à 480 VCA, 50/60 Hz</w:t>
      </w:r>
    </w:p>
    <w:p w14:paraId="6760AC3B" w14:textId="0682042C" w:rsidR="00561580" w:rsidRPr="00190D0E" w:rsidRDefault="00000000">
      <w:pPr>
        <w:spacing w:line="360" w:lineRule="auto"/>
        <w:ind w:left="720"/>
        <w:rPr>
          <w:rFonts w:ascii="Plus Jakarta Sans" w:hAnsi="Plus Jakarta Sans"/>
          <w:sz w:val="20"/>
          <w:szCs w:val="20"/>
        </w:rPr>
      </w:pPr>
      <w:r w:rsidRPr="00190D0E">
        <w:rPr>
          <w:rFonts w:ascii="Plus Jakarta Sans" w:hAnsi="Plus Jakarta Sans"/>
          <w:sz w:val="20"/>
          <w:szCs w:val="20"/>
        </w:rPr>
        <w:t xml:space="preserve">2. </w:t>
      </w:r>
      <w:r w:rsidRPr="00190D0E">
        <w:rPr>
          <w:rFonts w:ascii="Plus Jakarta Sans" w:hAnsi="Plus Jakarta Sans"/>
          <w:sz w:val="20"/>
          <w:szCs w:val="20"/>
        </w:rPr>
        <w:tab/>
        <w:t>Triphasée, 600 VCA, 50/60 Hz</w:t>
      </w:r>
    </w:p>
    <w:p w14:paraId="02BC3E83"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B. La tolérance de tension d'entrée du VFD doit être de -15 % / +10 % de la tension d'entrée nominale.</w:t>
      </w:r>
    </w:p>
    <w:p w14:paraId="0AB6CA5C"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C. La tolérance de fréquence d'entrée du VFD doit être de ±5 % de la fréquence d'entrée nominale.</w:t>
      </w:r>
    </w:p>
    <w:p w14:paraId="217DE9B1" w14:textId="2CA7EC14"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 xml:space="preserve">D. Le rendement du VFD doit être d’au moins 96,0 % à pleine charge et à pleine vitesse, conformément à </w:t>
      </w:r>
      <w:r w:rsidR="00A74CB0">
        <w:rPr>
          <w:rFonts w:ascii="Plus Jakarta Sans" w:hAnsi="Plus Jakarta Sans"/>
          <w:sz w:val="20"/>
          <w:szCs w:val="20"/>
        </w:rPr>
        <w:t>CEI</w:t>
      </w:r>
      <w:r w:rsidRPr="00190D0E">
        <w:rPr>
          <w:rFonts w:ascii="Plus Jakarta Sans" w:hAnsi="Plus Jakarta Sans"/>
          <w:sz w:val="20"/>
          <w:szCs w:val="20"/>
        </w:rPr>
        <w:t xml:space="preserve"> 61800-9-2.</w:t>
      </w:r>
    </w:p>
    <w:p w14:paraId="767AF398" w14:textId="0A56570E"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E. Le VFD, considéré comme un module d'entraînement complet (CDM), doit être de classe IE2 ou supérieure selon IEC 61800-9-2.</w:t>
      </w:r>
    </w:p>
    <w:p w14:paraId="65E00A09"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F. Le facteur de puissance de déplacement du VFD doit être supérieur à 0,98 (inductif) sur toute la plage de vitesse.</w:t>
      </w:r>
    </w:p>
    <w:p w14:paraId="5EEDEE95" w14:textId="0848B938"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t>G. Harmoniques : le VFD ne doit pas générer une distorsion harmonique totale du courant (THDi) supérieure à 3 % à des niveaux de charge égaux ou supérieurs à 50 %.</w:t>
      </w:r>
    </w:p>
    <w:p w14:paraId="68E6B8DF" w14:textId="77777777" w:rsidR="00561580" w:rsidRPr="00190D0E" w:rsidRDefault="00000000">
      <w:pPr>
        <w:spacing w:line="360" w:lineRule="auto"/>
        <w:rPr>
          <w:rFonts w:ascii="Plus Jakarta Sans" w:hAnsi="Plus Jakarta Sans"/>
          <w:sz w:val="20"/>
          <w:szCs w:val="20"/>
        </w:rPr>
      </w:pPr>
      <w:r w:rsidRPr="00190D0E">
        <w:rPr>
          <w:rFonts w:ascii="Plus Jakarta Sans" w:hAnsi="Plus Jakarta Sans"/>
          <w:sz w:val="20"/>
          <w:szCs w:val="20"/>
        </w:rPr>
        <w:lastRenderedPageBreak/>
        <w:t>H. Le VFD doit être soumis à des essais et homologué pour un SCCR de 50 kA ou plus, valeur efficace symétrique, à 600 V maximum.</w:t>
      </w:r>
    </w:p>
    <w:p w14:paraId="56BECA16" w14:textId="77777777" w:rsidR="00561580" w:rsidRDefault="00000000" w:rsidP="00190D0E">
      <w:pPr>
        <w:pStyle w:val="Heading4"/>
      </w:pPr>
      <w:bookmarkStart w:id="13" w:name="_Toc235607248"/>
      <w:r>
        <w:t>2.2.4 Section convertisseur (entrée)</w:t>
      </w:r>
      <w:bookmarkEnd w:id="13"/>
    </w:p>
    <w:p w14:paraId="705B9803" w14:textId="77777777" w:rsidR="00561580" w:rsidRPr="0078475B" w:rsidRDefault="00000000">
      <w:pPr>
        <w:spacing w:line="360" w:lineRule="auto"/>
        <w:rPr>
          <w:rFonts w:ascii="Plus Jakarta Sans" w:hAnsi="Plus Jakarta Sans"/>
          <w:sz w:val="20"/>
          <w:szCs w:val="20"/>
        </w:rPr>
      </w:pPr>
      <w:r w:rsidRPr="0078475B">
        <w:rPr>
          <w:rFonts w:ascii="Plus Jakarta Sans" w:hAnsi="Plus Jakarta Sans"/>
          <w:sz w:val="20"/>
          <w:szCs w:val="20"/>
        </w:rPr>
        <w:t>A. Le VFD doit utiliser un redresseur actif triphasé complet intégré en entrée (AFE) pour convertir l'alimentation CA d'entrée en CC. Le circuit doit utiliser une résistance de précharge et un contacteur ou relais afin de limiter le courant d'appel excessif sur le bus CC.</w:t>
      </w:r>
    </w:p>
    <w:p w14:paraId="04E3AC1F" w14:textId="77777777" w:rsidR="00561580" w:rsidRPr="0078475B" w:rsidRDefault="00000000">
      <w:pPr>
        <w:spacing w:line="360" w:lineRule="auto"/>
        <w:rPr>
          <w:rFonts w:ascii="Plus Jakarta Sans" w:hAnsi="Plus Jakarta Sans"/>
          <w:sz w:val="20"/>
          <w:szCs w:val="20"/>
        </w:rPr>
      </w:pPr>
      <w:r w:rsidRPr="0078475B">
        <w:rPr>
          <w:rFonts w:ascii="Plus Jakarta Sans" w:hAnsi="Plus Jakarta Sans"/>
          <w:sz w:val="20"/>
          <w:szCs w:val="20"/>
        </w:rPr>
        <w:t>B. L’AFE intégré doit régénérer l’énergie vers le réseau lorsque le moteur fonctionne en génératrice.</w:t>
      </w:r>
    </w:p>
    <w:p w14:paraId="2D4ECCA6" w14:textId="2D5679FF" w:rsidR="00561580" w:rsidRPr="0078475B" w:rsidRDefault="00000000">
      <w:pPr>
        <w:spacing w:line="360" w:lineRule="auto"/>
        <w:rPr>
          <w:rFonts w:ascii="Plus Jakarta Sans" w:hAnsi="Plus Jakarta Sans"/>
          <w:sz w:val="20"/>
          <w:szCs w:val="20"/>
        </w:rPr>
      </w:pPr>
      <w:r w:rsidRPr="0078475B">
        <w:rPr>
          <w:rFonts w:ascii="Plus Jakarta Sans" w:hAnsi="Plus Jakarta Sans"/>
          <w:sz w:val="20"/>
          <w:szCs w:val="20"/>
        </w:rPr>
        <w:t>C. L'entrée du VFD ne doit pas dépendre de l'ordre des phases d'alimentation.</w:t>
      </w:r>
    </w:p>
    <w:p w14:paraId="430DB64D" w14:textId="65607B0C" w:rsidR="00561580" w:rsidRPr="0078475B" w:rsidRDefault="00000000">
      <w:pPr>
        <w:spacing w:line="360" w:lineRule="auto"/>
        <w:rPr>
          <w:rFonts w:ascii="Plus Jakarta Sans" w:hAnsi="Plus Jakarta Sans"/>
          <w:sz w:val="20"/>
          <w:szCs w:val="20"/>
        </w:rPr>
      </w:pPr>
      <w:r w:rsidRPr="0078475B">
        <w:rPr>
          <w:rFonts w:ascii="Plus Jakarta Sans" w:hAnsi="Plus Jakarta Sans"/>
          <w:sz w:val="20"/>
          <w:szCs w:val="20"/>
        </w:rPr>
        <w:t>D. Le VFD doit détecter un défaut de perte de phase d'entrée.</w:t>
      </w:r>
    </w:p>
    <w:p w14:paraId="1E803565" w14:textId="2E368CA0" w:rsidR="00561580" w:rsidRPr="0078475B" w:rsidRDefault="004E1699">
      <w:pPr>
        <w:spacing w:line="360" w:lineRule="auto"/>
        <w:rPr>
          <w:rFonts w:ascii="Plus Jakarta Sans" w:hAnsi="Plus Jakarta Sans"/>
          <w:sz w:val="20"/>
          <w:szCs w:val="20"/>
        </w:rPr>
      </w:pPr>
      <w:r w:rsidRPr="0078475B">
        <w:rPr>
          <w:rFonts w:ascii="Plus Jakarta Sans" w:hAnsi="Plus Jakarta Sans"/>
          <w:sz w:val="20"/>
          <w:szCs w:val="20"/>
        </w:rPr>
        <w:t>E. La section convertisseur doit pouvoir être utilisée sur des réseaux de distribution de 50 Hz ou de 60 Hz.</w:t>
      </w:r>
    </w:p>
    <w:p w14:paraId="378D2C26" w14:textId="77777777" w:rsidR="00561580" w:rsidRDefault="00000000" w:rsidP="00190D0E">
      <w:pPr>
        <w:pStyle w:val="Heading4"/>
      </w:pPr>
      <w:bookmarkStart w:id="14" w:name="_Toc235607249"/>
      <w:r>
        <w:t>2.2.5 Section bus CC</w:t>
      </w:r>
      <w:bookmarkEnd w:id="14"/>
    </w:p>
    <w:p w14:paraId="3DE387B8" w14:textId="77777777" w:rsidR="00561580" w:rsidRPr="0078475B" w:rsidRDefault="00000000" w:rsidP="0078475B">
      <w:pPr>
        <w:spacing w:line="360" w:lineRule="auto"/>
        <w:rPr>
          <w:rFonts w:ascii="Plus Jakarta Sans" w:hAnsi="Plus Jakarta Sans" w:cs="Sora"/>
          <w:sz w:val="20"/>
          <w:szCs w:val="20"/>
        </w:rPr>
      </w:pPr>
      <w:r w:rsidRPr="0078475B">
        <w:rPr>
          <w:rFonts w:ascii="Plus Jakarta Sans" w:hAnsi="Plus Jakarta Sans" w:cs="Sora"/>
          <w:sz w:val="20"/>
          <w:szCs w:val="20"/>
        </w:rPr>
        <w:t>A. La conception globale du bus CC doit intégrer un filtre capacitif passif, ou un filtre capacitif et inductif, afin de réduire l'ondulation au minimum et de maximiser la tenue aux pertes d'alimentation.</w:t>
      </w:r>
    </w:p>
    <w:p w14:paraId="5CDA767C" w14:textId="51654029" w:rsidR="00561580" w:rsidRPr="0078475B" w:rsidRDefault="00000000" w:rsidP="0078475B">
      <w:pPr>
        <w:spacing w:line="360" w:lineRule="auto"/>
        <w:rPr>
          <w:rFonts w:ascii="Plus Jakarta Sans" w:hAnsi="Plus Jakarta Sans" w:cs="Sora"/>
          <w:sz w:val="20"/>
          <w:szCs w:val="20"/>
        </w:rPr>
      </w:pPr>
      <w:r w:rsidRPr="0078475B">
        <w:rPr>
          <w:rFonts w:ascii="Plus Jakarta Sans" w:hAnsi="Plus Jakarta Sans" w:cs="Sora"/>
          <w:sz w:val="20"/>
          <w:szCs w:val="20"/>
        </w:rPr>
        <w:t>B. La tension du bus CC doit être surveillée par la section de commande afin d'éviter tout dommage au VFD ou à l'équipement entraîné.</w:t>
      </w:r>
    </w:p>
    <w:p w14:paraId="44004851" w14:textId="65FC0617" w:rsidR="00561580" w:rsidRPr="0078475B" w:rsidRDefault="00000000" w:rsidP="0078475B">
      <w:pPr>
        <w:spacing w:line="360" w:lineRule="auto"/>
        <w:rPr>
          <w:rFonts w:ascii="Plus Jakarta Sans" w:hAnsi="Plus Jakarta Sans" w:cs="Sora"/>
          <w:sz w:val="20"/>
          <w:szCs w:val="20"/>
        </w:rPr>
      </w:pPr>
      <w:r w:rsidRPr="0078475B">
        <w:rPr>
          <w:rFonts w:ascii="Plus Jakarta Sans" w:hAnsi="Plus Jakarta Sans" w:cs="Sora"/>
          <w:sz w:val="20"/>
          <w:szCs w:val="20"/>
        </w:rPr>
        <w:t>C. Le bus CC doit être conçu avec des condensateurs ne nécessitant aucun reformage.</w:t>
      </w:r>
    </w:p>
    <w:p w14:paraId="050F1798" w14:textId="2EB89EFC" w:rsidR="00561580" w:rsidRPr="0078475B" w:rsidRDefault="0085762E" w:rsidP="0078475B">
      <w:pPr>
        <w:spacing w:line="360" w:lineRule="auto"/>
        <w:rPr>
          <w:rFonts w:ascii="Plus Jakarta Sans" w:hAnsi="Plus Jakarta Sans" w:cs="Sora"/>
          <w:sz w:val="20"/>
          <w:szCs w:val="20"/>
        </w:rPr>
      </w:pPr>
      <w:r>
        <w:rPr>
          <w:rFonts w:ascii="Plus Jakarta Sans" w:hAnsi="Plus Jakarta Sans" w:cs="Sora"/>
          <w:sz w:val="20"/>
          <w:szCs w:val="20"/>
        </w:rPr>
        <w:t>D. Une DEL clairement visible doit indiquer la présence de tension sur le bus CC.</w:t>
      </w:r>
    </w:p>
    <w:p w14:paraId="2F08C5BC" w14:textId="77777777" w:rsidR="00561580" w:rsidRDefault="00000000" w:rsidP="00190D0E">
      <w:pPr>
        <w:pStyle w:val="Heading4"/>
      </w:pPr>
      <w:bookmarkStart w:id="15" w:name="_Toc235607250"/>
      <w:r>
        <w:t>2.2.6 Section onduleur (sortie)</w:t>
      </w:r>
      <w:bookmarkEnd w:id="15"/>
    </w:p>
    <w:p w14:paraId="7E969AE1" w14:textId="77777777" w:rsidR="00561580" w:rsidRPr="0078475B" w:rsidRDefault="00000000">
      <w:pPr>
        <w:spacing w:line="360" w:lineRule="auto"/>
        <w:rPr>
          <w:rFonts w:ascii="Plus Jakarta Sans" w:hAnsi="Plus Jakarta Sans" w:cs="Sora"/>
          <w:color w:val="000000"/>
          <w:sz w:val="20"/>
          <w:szCs w:val="20"/>
        </w:rPr>
      </w:pPr>
      <w:r w:rsidRPr="0078475B">
        <w:rPr>
          <w:rFonts w:ascii="Plus Jakarta Sans" w:hAnsi="Plus Jakarta Sans" w:cs="Sora"/>
          <w:color w:val="000000"/>
          <w:sz w:val="20"/>
          <w:szCs w:val="20"/>
        </w:rPr>
        <w:t>A. La section onduleur doit utiliser la plus récente génération de transistors à large bande interdite, tels que des transistors MOSFET au carbure de silicium (SiC), afin de convertir la tension CC en une forme d'onde triphasée, sinusoïdale, à tension et fréquence variables.</w:t>
      </w:r>
    </w:p>
    <w:p w14:paraId="72C0A4EB" w14:textId="77777777" w:rsidR="00561580" w:rsidRPr="0078475B" w:rsidRDefault="00000000">
      <w:pPr>
        <w:spacing w:line="360" w:lineRule="auto"/>
        <w:rPr>
          <w:rFonts w:ascii="Plus Jakarta Sans" w:hAnsi="Plus Jakarta Sans" w:cs="Sora"/>
          <w:color w:val="000000"/>
          <w:sz w:val="20"/>
          <w:szCs w:val="20"/>
        </w:rPr>
      </w:pPr>
      <w:r w:rsidRPr="0078475B">
        <w:rPr>
          <w:rFonts w:ascii="Plus Jakarta Sans" w:hAnsi="Plus Jakarta Sans" w:cs="Sora"/>
          <w:color w:val="000000"/>
          <w:sz w:val="20"/>
          <w:szCs w:val="20"/>
        </w:rPr>
        <w:t>B. Le matériel et le logiciel du VFD doivent être conçus pour éviter les ondes réfléchies causées par les grandes longueurs de câble.</w:t>
      </w:r>
    </w:p>
    <w:p w14:paraId="6383BCE3" w14:textId="637F681F" w:rsidR="00561580" w:rsidRPr="0078475B" w:rsidRDefault="00000000" w:rsidP="003575F7">
      <w:pPr>
        <w:spacing w:line="360" w:lineRule="auto"/>
        <w:rPr>
          <w:rFonts w:ascii="Plus Jakarta Sans" w:hAnsi="Plus Jakarta Sans" w:cs="Sora"/>
          <w:color w:val="000000"/>
          <w:sz w:val="20"/>
          <w:szCs w:val="20"/>
        </w:rPr>
      </w:pPr>
      <w:r w:rsidRPr="0078475B">
        <w:rPr>
          <w:rFonts w:ascii="Plus Jakarta Sans" w:hAnsi="Plus Jakarta Sans" w:cs="Sora"/>
          <w:color w:val="000000"/>
          <w:sz w:val="20"/>
          <w:szCs w:val="20"/>
        </w:rPr>
        <w:t>C. La section onduleur de sortie du VFD doit produire une onde sinusoïdale propre sans nécessiter de filtre dv/</w:t>
      </w:r>
      <w:proofErr w:type="spellStart"/>
      <w:r w:rsidRPr="0078475B">
        <w:rPr>
          <w:rFonts w:ascii="Plus Jakarta Sans" w:hAnsi="Plus Jakarta Sans" w:cs="Sora"/>
          <w:color w:val="000000"/>
          <w:sz w:val="20"/>
          <w:szCs w:val="20"/>
        </w:rPr>
        <w:t>dt</w:t>
      </w:r>
      <w:proofErr w:type="spellEnd"/>
      <w:r w:rsidR="00A74CB0">
        <w:rPr>
          <w:rFonts w:ascii="Plus Jakarta Sans" w:hAnsi="Plus Jakarta Sans" w:cs="Sora"/>
          <w:color w:val="000000"/>
          <w:sz w:val="20"/>
          <w:szCs w:val="20"/>
        </w:rPr>
        <w:t xml:space="preserve"> </w:t>
      </w:r>
      <w:r w:rsidR="003575F7" w:rsidRPr="0078475B">
        <w:rPr>
          <w:rFonts w:ascii="Plus Jakarta Sans" w:hAnsi="Plus Jakarta Sans" w:cs="Sora"/>
          <w:color w:val="000000"/>
          <w:sz w:val="20"/>
          <w:szCs w:val="20"/>
        </w:rPr>
        <w:t>ni de filtre sinusoïdal.</w:t>
      </w:r>
    </w:p>
    <w:p w14:paraId="4FF2317F" w14:textId="418B9D23" w:rsidR="00561580" w:rsidRPr="0078475B" w:rsidRDefault="00000000">
      <w:pPr>
        <w:spacing w:line="360" w:lineRule="auto"/>
        <w:rPr>
          <w:rFonts w:ascii="Plus Jakarta Sans" w:hAnsi="Plus Jakarta Sans" w:cs="Sora"/>
          <w:sz w:val="20"/>
          <w:szCs w:val="20"/>
        </w:rPr>
      </w:pPr>
      <w:r w:rsidRPr="0078475B">
        <w:rPr>
          <w:rFonts w:ascii="Plus Jakarta Sans" w:hAnsi="Plus Jakarta Sans" w:cs="Sora"/>
          <w:sz w:val="20"/>
          <w:szCs w:val="20"/>
        </w:rPr>
        <w:t>D. Tous les MOSFET SiC de la section onduleur doivent être dimensionnés pour permettre au VFD de fonctionner dans les conditions suivantes :</w:t>
      </w:r>
    </w:p>
    <w:p w14:paraId="1961B798" w14:textId="77777777" w:rsidR="00561580" w:rsidRPr="0078475B" w:rsidRDefault="00000000">
      <w:pPr>
        <w:spacing w:line="360" w:lineRule="auto"/>
        <w:ind w:left="360"/>
        <w:rPr>
          <w:rFonts w:ascii="Plus Jakarta Sans" w:hAnsi="Plus Jakarta Sans" w:cs="Sora"/>
          <w:sz w:val="20"/>
          <w:szCs w:val="20"/>
        </w:rPr>
      </w:pPr>
      <w:r w:rsidRPr="0078475B">
        <w:rPr>
          <w:rFonts w:ascii="Plus Jakarta Sans" w:hAnsi="Plus Jakarta Sans" w:cs="Sora"/>
          <w:sz w:val="20"/>
          <w:szCs w:val="20"/>
        </w:rPr>
        <w:t>1. Fonctionnement continu au courant nominal dans les conditions ambiantes nominales (température, altitude et humidité)</w:t>
      </w:r>
    </w:p>
    <w:p w14:paraId="54CD0F9E" w14:textId="77777777" w:rsidR="00561580" w:rsidRPr="0078475B" w:rsidRDefault="00000000">
      <w:pPr>
        <w:spacing w:line="360" w:lineRule="auto"/>
        <w:ind w:left="360"/>
        <w:rPr>
          <w:rFonts w:ascii="Plus Jakarta Sans" w:hAnsi="Plus Jakarta Sans" w:cs="Sora"/>
          <w:sz w:val="20"/>
          <w:szCs w:val="20"/>
        </w:rPr>
      </w:pPr>
      <w:r w:rsidRPr="0078475B">
        <w:rPr>
          <w:rFonts w:ascii="Plus Jakarta Sans" w:hAnsi="Plus Jakarta Sans" w:cs="Sora"/>
          <w:sz w:val="20"/>
          <w:szCs w:val="20"/>
        </w:rPr>
        <w:t>2. Surcharge de courant pendant 60 secondes : 110 % du courant nominal en service normal.</w:t>
      </w:r>
    </w:p>
    <w:p w14:paraId="59DD1297" w14:textId="77777777" w:rsidR="00561580" w:rsidRPr="0078475B" w:rsidRDefault="00000000">
      <w:pPr>
        <w:spacing w:line="360" w:lineRule="auto"/>
        <w:ind w:left="360"/>
        <w:rPr>
          <w:rFonts w:ascii="Plus Jakarta Sans" w:hAnsi="Plus Jakarta Sans" w:cs="Sora"/>
          <w:sz w:val="20"/>
          <w:szCs w:val="20"/>
        </w:rPr>
      </w:pPr>
      <w:r w:rsidRPr="0078475B">
        <w:rPr>
          <w:rFonts w:ascii="Plus Jakarta Sans" w:hAnsi="Plus Jakarta Sans" w:cs="Sora"/>
          <w:sz w:val="20"/>
          <w:szCs w:val="20"/>
        </w:rPr>
        <w:t>3. Surcharge de courant pendant 60 secondes : 150 % du courant nominal en service intensif.</w:t>
      </w:r>
    </w:p>
    <w:p w14:paraId="6CFB7E3B" w14:textId="7EC6CB1B" w:rsidR="00561580" w:rsidRPr="0078475B" w:rsidRDefault="0085762E">
      <w:pPr>
        <w:spacing w:line="360" w:lineRule="auto"/>
        <w:rPr>
          <w:rFonts w:ascii="Plus Jakarta Sans" w:hAnsi="Plus Jakarta Sans" w:cs="Sora"/>
          <w:color w:val="000000"/>
          <w:sz w:val="20"/>
          <w:szCs w:val="20"/>
        </w:rPr>
      </w:pPr>
      <w:r>
        <w:rPr>
          <w:rFonts w:ascii="Plus Jakarta Sans" w:hAnsi="Plus Jakarta Sans" w:cs="Sora"/>
          <w:color w:val="000000"/>
          <w:sz w:val="20"/>
          <w:szCs w:val="20"/>
        </w:rPr>
        <w:t>E. La section onduleur doit pouvoir détecter et interrompre un défaut phase-phase ou phase-</w:t>
      </w:r>
    </w:p>
    <w:p w14:paraId="072698B2" w14:textId="77777777" w:rsidR="00561580" w:rsidRPr="0078475B" w:rsidRDefault="00000000">
      <w:pPr>
        <w:spacing w:line="360" w:lineRule="auto"/>
        <w:rPr>
          <w:rFonts w:ascii="Plus Jakarta Sans" w:hAnsi="Plus Jakarta Sans" w:cs="Sora"/>
          <w:color w:val="000000"/>
          <w:sz w:val="20"/>
          <w:szCs w:val="20"/>
        </w:rPr>
      </w:pPr>
      <w:proofErr w:type="gramStart"/>
      <w:r w:rsidRPr="0078475B">
        <w:rPr>
          <w:rFonts w:ascii="Plus Jakarta Sans" w:hAnsi="Plus Jakarta Sans" w:cs="Sora"/>
          <w:color w:val="000000"/>
          <w:sz w:val="20"/>
          <w:szCs w:val="20"/>
        </w:rPr>
        <w:lastRenderedPageBreak/>
        <w:t>terre</w:t>
      </w:r>
      <w:proofErr w:type="gramEnd"/>
      <w:r w:rsidRPr="0078475B">
        <w:rPr>
          <w:rFonts w:ascii="Plus Jakarta Sans" w:hAnsi="Plus Jakarta Sans" w:cs="Sora"/>
          <w:color w:val="000000"/>
          <w:sz w:val="20"/>
          <w:szCs w:val="20"/>
        </w:rPr>
        <w:t xml:space="preserve"> à la sortie du VFD.</w:t>
      </w:r>
    </w:p>
    <w:p w14:paraId="53003BF1" w14:textId="53695BD6" w:rsidR="00561580" w:rsidRPr="0078475B" w:rsidRDefault="0085762E">
      <w:pPr>
        <w:shd w:val="clear" w:color="auto" w:fill="FFFFFF"/>
        <w:spacing w:line="360" w:lineRule="auto"/>
        <w:rPr>
          <w:rFonts w:ascii="Plus Jakarta Sans" w:hAnsi="Plus Jakarta Sans" w:cs="Sora"/>
          <w:sz w:val="20"/>
          <w:szCs w:val="20"/>
        </w:rPr>
      </w:pPr>
      <w:r>
        <w:rPr>
          <w:rFonts w:ascii="Plus Jakarta Sans" w:hAnsi="Plus Jakarta Sans" w:cs="Sora"/>
          <w:color w:val="000000"/>
          <w:sz w:val="20"/>
          <w:szCs w:val="20"/>
        </w:rPr>
        <w:t>F. La tension de sortie doit être réglable de 0 jusqu'à la tension d'entrée nominale. La plage de fréquence de sortie</w:t>
      </w:r>
      <w:r w:rsidR="00A74CB0">
        <w:rPr>
          <w:rFonts w:ascii="Plus Jakarta Sans" w:hAnsi="Plus Jakarta Sans" w:cs="Sora"/>
          <w:color w:val="000000"/>
          <w:sz w:val="20"/>
          <w:szCs w:val="20"/>
        </w:rPr>
        <w:t xml:space="preserve"> </w:t>
      </w:r>
      <w:r w:rsidR="00000000" w:rsidRPr="0078475B">
        <w:rPr>
          <w:rFonts w:ascii="Plus Jakarta Sans" w:hAnsi="Plus Jakarta Sans" w:cs="Sora"/>
          <w:color w:val="000000"/>
          <w:sz w:val="20"/>
          <w:szCs w:val="20"/>
        </w:rPr>
        <w:t>doit être réglable jusqu'à une fréquence maximale de 120 Hz.</w:t>
      </w:r>
    </w:p>
    <w:p w14:paraId="4B08644B" w14:textId="5EE08313" w:rsidR="00561580" w:rsidRPr="0078475B" w:rsidRDefault="0085762E">
      <w:pPr>
        <w:shd w:val="clear" w:color="auto" w:fill="FFFFFF"/>
        <w:spacing w:line="360" w:lineRule="auto"/>
        <w:rPr>
          <w:rFonts w:ascii="Plus Jakarta Sans" w:hAnsi="Plus Jakarta Sans" w:cs="Sora"/>
          <w:sz w:val="20"/>
          <w:szCs w:val="20"/>
        </w:rPr>
      </w:pPr>
      <w:r>
        <w:rPr>
          <w:rFonts w:ascii="Plus Jakarta Sans" w:hAnsi="Plus Jakarta Sans" w:cs="Sora"/>
          <w:sz w:val="20"/>
          <w:szCs w:val="20"/>
        </w:rPr>
        <w:t>G. Le VFD doit permettre l'utilisation de câbles moteur d'une longueur maximale de 15 000 pi (4 500 m), sans filtre d'atténuation et sans provoquer de perturbation ni de défaillance prématurée du moteur.</w:t>
      </w:r>
    </w:p>
    <w:p w14:paraId="1A2EA2D1" w14:textId="40832CFB" w:rsidR="00C923E4" w:rsidRPr="0085762E" w:rsidRDefault="0085762E">
      <w:pPr>
        <w:shd w:val="clear" w:color="auto" w:fill="FFFFFF"/>
        <w:spacing w:line="360" w:lineRule="auto"/>
        <w:rPr>
          <w:rFonts w:ascii="Plus Jakarta Sans" w:hAnsi="Plus Jakarta Sans" w:cs="Sora"/>
          <w:sz w:val="20"/>
          <w:szCs w:val="20"/>
        </w:rPr>
      </w:pPr>
      <w:r>
        <w:rPr>
          <w:rFonts w:ascii="Plus Jakarta Sans" w:hAnsi="Plus Jakarta Sans" w:cs="Sora"/>
          <w:sz w:val="20"/>
          <w:szCs w:val="20"/>
        </w:rPr>
        <w:t>H. L'onde sinusoïdale triphasée de sortie du VFD doit être équilibrée et ne doit appliquer aucune tension de mode commun aux capacités parasites du moteur.</w:t>
      </w:r>
    </w:p>
    <w:p w14:paraId="3BED3074" w14:textId="77777777" w:rsidR="00561580" w:rsidRDefault="00000000" w:rsidP="00190D0E">
      <w:pPr>
        <w:pStyle w:val="Heading4"/>
      </w:pPr>
      <w:bookmarkStart w:id="16" w:name="_Toc235607251"/>
      <w:r>
        <w:t>2.2.7 Section de commande du moteur</w:t>
      </w:r>
      <w:bookmarkEnd w:id="16"/>
    </w:p>
    <w:p w14:paraId="156895E1" w14:textId="77777777" w:rsidR="00561580" w:rsidRPr="0078475B" w:rsidRDefault="00000000">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La section de commande doit assurer le contrôle complet de l'application ainsi que la surveillance et la protection du VFD.</w:t>
      </w:r>
    </w:p>
    <w:p w14:paraId="684A9401" w14:textId="77777777" w:rsidR="00561580" w:rsidRPr="0078475B" w:rsidRDefault="00000000">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Le VFD doit se protéger contre les dommages et les défauts, indépendamment de la programmation de l'utilisateur final.</w:t>
      </w:r>
    </w:p>
    <w:p w14:paraId="101CDE35" w14:textId="77777777" w:rsidR="00561580" w:rsidRPr="0078475B" w:rsidRDefault="00000000">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C. Le VFD doit utiliser des algorithmes récents pour commander les applications à couple constant</w:t>
      </w:r>
    </w:p>
    <w:p w14:paraId="3E8543B0" w14:textId="54E102E4" w:rsidR="00561580" w:rsidRPr="0078475B" w:rsidRDefault="00000000">
      <w:pPr>
        <w:spacing w:line="360" w:lineRule="auto"/>
        <w:rPr>
          <w:rFonts w:ascii="Plus Jakarta Sans" w:hAnsi="Plus Jakarta Sans"/>
          <w:color w:val="000000"/>
          <w:sz w:val="20"/>
          <w:szCs w:val="20"/>
        </w:rPr>
      </w:pPr>
      <w:proofErr w:type="gramStart"/>
      <w:r w:rsidRPr="0078475B">
        <w:rPr>
          <w:rFonts w:ascii="Plus Jakarta Sans" w:hAnsi="Plus Jakarta Sans"/>
          <w:color w:val="000000"/>
          <w:sz w:val="20"/>
          <w:szCs w:val="20"/>
        </w:rPr>
        <w:t>ou</w:t>
      </w:r>
      <w:proofErr w:type="gramEnd"/>
      <w:r w:rsidRPr="0078475B">
        <w:rPr>
          <w:rFonts w:ascii="Plus Jakarta Sans" w:hAnsi="Plus Jakarta Sans"/>
          <w:color w:val="000000"/>
          <w:sz w:val="20"/>
          <w:szCs w:val="20"/>
        </w:rPr>
        <w:t xml:space="preserve"> variable, en commande tension/fréquence ou vectorielle à flux orienté :</w:t>
      </w:r>
    </w:p>
    <w:p w14:paraId="198285C4" w14:textId="691A81BD" w:rsidR="00561580" w:rsidRPr="0078475B" w:rsidRDefault="00000000">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Couple constant</w:t>
      </w:r>
    </w:p>
    <w:p w14:paraId="3F5266FA" w14:textId="38F03136" w:rsidR="00561580" w:rsidRPr="0078475B" w:rsidRDefault="00000000">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Couple variable</w:t>
      </w:r>
    </w:p>
    <w:p w14:paraId="57455631" w14:textId="719CC0A0" w:rsidR="00561580" w:rsidRPr="0078475B" w:rsidRDefault="00000000">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3. </w:t>
      </w:r>
      <w:r w:rsidRPr="0078475B">
        <w:rPr>
          <w:rFonts w:ascii="Plus Jakarta Sans" w:hAnsi="Plus Jakarta Sans"/>
          <w:color w:val="000000"/>
          <w:sz w:val="20"/>
          <w:szCs w:val="20"/>
        </w:rPr>
        <w:tab/>
        <w:t>Surcouple automatique</w:t>
      </w:r>
    </w:p>
    <w:p w14:paraId="3917B5FD" w14:textId="2596BC6D" w:rsidR="00561580" w:rsidRPr="0078475B" w:rsidRDefault="0085762E">
      <w:pPr>
        <w:spacing w:line="360" w:lineRule="auto"/>
        <w:ind w:left="720"/>
        <w:rPr>
          <w:rFonts w:ascii="Plus Jakarta Sans" w:hAnsi="Plus Jakarta Sans"/>
          <w:sz w:val="20"/>
          <w:szCs w:val="20"/>
        </w:rPr>
      </w:pPr>
      <w:r>
        <w:rPr>
          <w:rFonts w:ascii="Plus Jakarta Sans" w:hAnsi="Plus Jakarta Sans"/>
          <w:sz w:val="20"/>
          <w:szCs w:val="20"/>
        </w:rPr>
        <w:t xml:space="preserve">4. </w:t>
      </w:r>
      <w:r>
        <w:rPr>
          <w:rFonts w:ascii="Plus Jakarta Sans" w:hAnsi="Plus Jakarta Sans"/>
          <w:sz w:val="20"/>
          <w:szCs w:val="20"/>
        </w:rPr>
        <w:tab/>
        <w:t>Commande vectorielle sans capteur</w:t>
      </w:r>
    </w:p>
    <w:p w14:paraId="5DAD84F9" w14:textId="22C776A5" w:rsidR="00561580" w:rsidRPr="0078475B" w:rsidRDefault="0085762E">
      <w:pPr>
        <w:spacing w:line="360" w:lineRule="auto"/>
        <w:ind w:left="720"/>
        <w:rPr>
          <w:rFonts w:ascii="Plus Jakarta Sans" w:hAnsi="Plus Jakarta Sans"/>
          <w:sz w:val="20"/>
          <w:szCs w:val="20"/>
        </w:rPr>
      </w:pPr>
      <w:r>
        <w:rPr>
          <w:rFonts w:ascii="Plus Jakarta Sans" w:hAnsi="Plus Jakarta Sans"/>
          <w:sz w:val="20"/>
          <w:szCs w:val="20"/>
        </w:rPr>
        <w:t xml:space="preserve">5. </w:t>
      </w:r>
      <w:r>
        <w:rPr>
          <w:rFonts w:ascii="Plus Jakarta Sans" w:hAnsi="Plus Jakarta Sans"/>
          <w:sz w:val="20"/>
          <w:szCs w:val="20"/>
        </w:rPr>
        <w:tab/>
        <w:t>Commande vectorielle avec retour codeur</w:t>
      </w:r>
    </w:p>
    <w:p w14:paraId="64D32B08" w14:textId="77777777" w:rsidR="00561580" w:rsidRPr="0078475B" w:rsidRDefault="00000000">
      <w:pPr>
        <w:spacing w:line="360" w:lineRule="auto"/>
        <w:rPr>
          <w:rFonts w:ascii="Plus Jakarta Sans" w:hAnsi="Plus Jakarta Sans"/>
          <w:color w:val="000000"/>
          <w:sz w:val="20"/>
          <w:szCs w:val="20"/>
        </w:rPr>
      </w:pPr>
      <w:r w:rsidRPr="0078475B">
        <w:rPr>
          <w:rFonts w:ascii="Plus Jakarta Sans" w:hAnsi="Plus Jakarta Sans"/>
          <w:sz w:val="20"/>
          <w:szCs w:val="20"/>
        </w:rPr>
        <w:t>D. Les circuits logiques du microprocesseur doivent être isolés des circuits de puissance.</w:t>
      </w:r>
    </w:p>
    <w:p w14:paraId="1426C54C" w14:textId="77777777" w:rsidR="00561580" w:rsidRPr="0078475B" w:rsidRDefault="00000000">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E. Des diagnostics à la mise sous tension doivent vérifier le fonctionnement et l'intégrité du microprocesseur.</w:t>
      </w:r>
    </w:p>
    <w:p w14:paraId="7749758D" w14:textId="010CCC4F" w:rsidR="00561580" w:rsidRPr="0085762E" w:rsidRDefault="0085762E">
      <w:pPr>
        <w:spacing w:line="360" w:lineRule="auto"/>
        <w:rPr>
          <w:rFonts w:ascii="Plus Jakarta Sans" w:hAnsi="Plus Jakarta Sans"/>
          <w:sz w:val="20"/>
          <w:szCs w:val="20"/>
        </w:rPr>
      </w:pPr>
      <w:r>
        <w:rPr>
          <w:rFonts w:ascii="Plus Jakarta Sans" w:hAnsi="Plus Jakarta Sans"/>
          <w:sz w:val="20"/>
          <w:szCs w:val="20"/>
        </w:rPr>
        <w:t>F. Le VFD doit pouvoir diagnostiquer le moteur en fonctionnement ou à la mise sous tension afin d'éviter les dommages causés par un moteur à la terre ou en court-circuit.</w:t>
      </w:r>
    </w:p>
    <w:p w14:paraId="582FA379" w14:textId="61806B4A" w:rsidR="00561580" w:rsidRPr="0078475B" w:rsidRDefault="0085762E">
      <w:pPr>
        <w:spacing w:line="360" w:lineRule="auto"/>
        <w:rPr>
          <w:rFonts w:ascii="Plus Jakarta Sans" w:hAnsi="Plus Jakarta Sans"/>
          <w:color w:val="000000"/>
          <w:sz w:val="20"/>
          <w:szCs w:val="20"/>
        </w:rPr>
      </w:pPr>
      <w:r>
        <w:rPr>
          <w:rFonts w:ascii="Plus Jakarta Sans" w:hAnsi="Plus Jakarta Sans"/>
          <w:color w:val="000000"/>
          <w:sz w:val="20"/>
          <w:szCs w:val="20"/>
        </w:rPr>
        <w:t>G. Le micrologiciel doit pouvoir être mis à niveau lorsque des améliorations sont disponibles.</w:t>
      </w:r>
    </w:p>
    <w:p w14:paraId="369F3F89" w14:textId="32537D9F" w:rsidR="00561580" w:rsidRPr="0078475B" w:rsidRDefault="0085762E">
      <w:pPr>
        <w:spacing w:line="360" w:lineRule="auto"/>
        <w:rPr>
          <w:rFonts w:ascii="Plus Jakarta Sans" w:hAnsi="Plus Jakarta Sans"/>
          <w:color w:val="000000"/>
          <w:sz w:val="20"/>
          <w:szCs w:val="20"/>
        </w:rPr>
      </w:pPr>
      <w:r>
        <w:rPr>
          <w:rFonts w:ascii="Plus Jakarta Sans" w:hAnsi="Plus Jakarta Sans"/>
          <w:color w:val="000000"/>
          <w:sz w:val="20"/>
          <w:szCs w:val="20"/>
        </w:rPr>
        <w:t>H. Tous les VFD doivent comporter deux ports Ethernet RJ45 :</w:t>
      </w:r>
    </w:p>
    <w:p w14:paraId="165537CC" w14:textId="591F51A3" w:rsidR="00561580" w:rsidRPr="0078475B" w:rsidRDefault="00000000">
      <w:pPr>
        <w:spacing w:line="360" w:lineRule="auto"/>
        <w:ind w:firstLine="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Pour les fonctions Modbus TCP</w:t>
      </w:r>
    </w:p>
    <w:p w14:paraId="5E4A5C75" w14:textId="218BAED0" w:rsidR="00561580" w:rsidRPr="0078475B" w:rsidRDefault="00000000">
      <w:pPr>
        <w:spacing w:line="360" w:lineRule="auto"/>
        <w:ind w:firstLine="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Pour les fonctions BACnet/IP</w:t>
      </w:r>
    </w:p>
    <w:p w14:paraId="0C0BDFFA" w14:textId="06BE17D0" w:rsidR="00561580" w:rsidRPr="0085762E" w:rsidRDefault="00000000" w:rsidP="0085762E">
      <w:pPr>
        <w:spacing w:line="360" w:lineRule="auto"/>
        <w:ind w:firstLine="720"/>
        <w:rPr>
          <w:rFonts w:ascii="Plus Jakarta Sans" w:hAnsi="Plus Jakarta Sans"/>
          <w:sz w:val="20"/>
          <w:szCs w:val="20"/>
        </w:rPr>
      </w:pPr>
      <w:r w:rsidRPr="0085762E">
        <w:rPr>
          <w:rFonts w:ascii="Plus Jakarta Sans" w:hAnsi="Plus Jakarta Sans"/>
          <w:sz w:val="20"/>
          <w:szCs w:val="20"/>
        </w:rPr>
        <w:t xml:space="preserve">3. </w:t>
      </w:r>
      <w:r w:rsidRPr="0085762E">
        <w:rPr>
          <w:rFonts w:ascii="Plus Jakarta Sans" w:hAnsi="Plus Jakarta Sans"/>
          <w:sz w:val="20"/>
          <w:szCs w:val="20"/>
        </w:rPr>
        <w:tab/>
        <w:t xml:space="preserve">Pour les fonctions </w:t>
      </w:r>
      <w:proofErr w:type="spellStart"/>
      <w:r w:rsidRPr="0085762E">
        <w:rPr>
          <w:rFonts w:ascii="Plus Jakarta Sans" w:hAnsi="Plus Jakarta Sans"/>
          <w:sz w:val="20"/>
          <w:szCs w:val="20"/>
        </w:rPr>
        <w:t>EtherNet</w:t>
      </w:r>
      <w:proofErr w:type="spellEnd"/>
      <w:r w:rsidRPr="0085762E">
        <w:rPr>
          <w:rFonts w:ascii="Plus Jakarta Sans" w:hAnsi="Plus Jakarta Sans"/>
          <w:sz w:val="20"/>
          <w:szCs w:val="20"/>
        </w:rPr>
        <w:t>/IP</w:t>
      </w:r>
    </w:p>
    <w:p w14:paraId="373046EF" w14:textId="77777777" w:rsidR="008474CC" w:rsidRDefault="008474CC">
      <w:pPr>
        <w:rPr>
          <w:rFonts w:ascii="Sora" w:hAnsi="Sora" w:cs="Sora"/>
          <w:color w:val="4FDA6E"/>
          <w:sz w:val="24"/>
          <w:szCs w:val="24"/>
        </w:rPr>
      </w:pPr>
      <w:bookmarkStart w:id="17" w:name="_Toc235607252"/>
      <w:r>
        <w:br w:type="page"/>
      </w:r>
    </w:p>
    <w:p w14:paraId="3E9C39F6" w14:textId="39D4E3B4" w:rsidR="00561580" w:rsidRDefault="00000000" w:rsidP="00190D0E">
      <w:pPr>
        <w:pStyle w:val="Heading4"/>
      </w:pPr>
      <w:r>
        <w:lastRenderedPageBreak/>
        <w:t>2.2.8 Interface homme-machine (HMI)</w:t>
      </w:r>
      <w:bookmarkEnd w:id="17"/>
    </w:p>
    <w:p w14:paraId="0A68586E" w14:textId="00927C00"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VFD doit être fourni avec une HMI à écran tactile dotée de touches de commande, utilisable pour le paramétrage, la surveillance et l'exploitation du VFD.</w:t>
      </w:r>
    </w:p>
    <w:p w14:paraId="60152111"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L'HMI doit comprendre un écran tactile ainsi que des boutons de saisie pour la navigation et la commande.</w:t>
      </w:r>
    </w:p>
    <w:p w14:paraId="25A2705B"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C. Pour des raisons de sécurité, les fonctionnalités et l'accès à l'HMI doivent pouvoir être limités et protégés par mot de passe afin d'empêcher un utilisateur non autorisé d'accéder aux paramètres, aux fonctions ou à la surveillance.</w:t>
      </w:r>
    </w:p>
    <w:p w14:paraId="63BD0B1A"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D. Afin de prolonger sa durée de vie, l'HMI doit intégrer une fonction d'économiseur d'écran.</w:t>
      </w:r>
    </w:p>
    <w:p w14:paraId="665FDF8D" w14:textId="2AD46BDF"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E. Le VFD ne doit pas nécessiter l'HMI pour fonctionner normalement lorsque la commande est assurée par le bornier local des entrées/sorties (E/S) ou par les communications. Ce comportement doit être activé par l'utilisateur.</w:t>
      </w:r>
    </w:p>
    <w:p w14:paraId="1ECD570C" w14:textId="711A7032" w:rsidR="00ED0043" w:rsidRPr="0078475B" w:rsidRDefault="00ED0043"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F. Lorsque cette fonction est activée, la perte de communication avec l'HMI doit déclencher une alarme.</w:t>
      </w:r>
    </w:p>
    <w:p w14:paraId="07100EC6"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F. Un câble et une trousse de montage offerts en option doivent permettre le montage déporté de l'HMI sur un panneau.</w:t>
      </w:r>
    </w:p>
    <w:p w14:paraId="5404AE0A" w14:textId="78CFE1BA" w:rsidR="00981B15" w:rsidRPr="0078475B" w:rsidRDefault="00981B15" w:rsidP="0078475B">
      <w:pPr>
        <w:spacing w:line="360" w:lineRule="auto"/>
        <w:rPr>
          <w:rFonts w:ascii="Plus Jakarta Sans" w:hAnsi="Plus Jakarta Sans"/>
          <w:color w:val="000000"/>
          <w:sz w:val="20"/>
          <w:szCs w:val="20"/>
        </w:rPr>
      </w:pPr>
      <w:r w:rsidRPr="0078475B">
        <w:rPr>
          <w:rFonts w:ascii="Plus Jakarta Sans" w:hAnsi="Plus Jakarta Sans"/>
          <w:sz w:val="20"/>
          <w:szCs w:val="20"/>
        </w:rPr>
        <w:t>G. L'accès à l'HMI doit pouvoir être verrouillé par mot de passe.</w:t>
      </w:r>
    </w:p>
    <w:p w14:paraId="0E1380A6" w14:textId="77777777" w:rsidR="00561580" w:rsidRDefault="00000000" w:rsidP="00190D0E">
      <w:pPr>
        <w:pStyle w:val="Heading4"/>
      </w:pPr>
      <w:bookmarkStart w:id="18" w:name="_Toc235607253"/>
      <w:r>
        <w:t>2.2.9 Application pour téléphone intelligent</w:t>
      </w:r>
      <w:bookmarkEnd w:id="18"/>
    </w:p>
    <w:p w14:paraId="1D3B150F" w14:textId="77777777" w:rsidR="00561580" w:rsidRPr="0078475B" w:rsidRDefault="00000000" w:rsidP="0078475B">
      <w:pPr>
        <w:shd w:val="clear" w:color="auto" w:fill="FFFFFF"/>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VFD doit pouvoir être programmé, surveillé et commandé au moyen d’une application dédiée fonctionnant sur les téléphones intelligents Android et iOS.</w:t>
      </w:r>
    </w:p>
    <w:p w14:paraId="7EA38F20"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B. Pour des raisons de sécurité, les fonctionnalités et l'accès à l'application doivent pouvoir être limités et protégés par mot de passe afin d'empêcher un utilisateur non autorisé d'accéder aux paramètres, aux fonctions ou à la surveillance.</w:t>
      </w:r>
    </w:p>
    <w:p w14:paraId="63B6C50B"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C. L'application mobile doit offrir un mode de programmation guidé et simple permettant de configurer le VFD étape par étape.</w:t>
      </w:r>
    </w:p>
    <w:p w14:paraId="75B2321A"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D. L'application mobile doit communiquer avec l'utilisateur en texte clair et en langage naturel, sans utiliser de codes de paramètres.</w:t>
      </w:r>
    </w:p>
    <w:p w14:paraId="5038F9FE"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E. L'application mobile doit permettre à l'utilisateur de créer les réglages du VFD sans être connecté à un VFD.</w:t>
      </w:r>
    </w:p>
    <w:p w14:paraId="34DB6A81" w14:textId="71FB9C1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F. L'application mobile doit pouvoir se connecter au VFD, par Wi-Fi ou Bluetooth, afin d'appliquer directement des réglages ou de les télécharger, ainsi que pour surveiller et commander le VFD.</w:t>
      </w:r>
    </w:p>
    <w:p w14:paraId="18EFD7AD" w14:textId="02F9FA23" w:rsidR="00637D01" w:rsidRPr="0078475B" w:rsidRDefault="00637D01"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G. La fonction de commande de l'application mobile doit pouvoir être désactivée par l'utilisateur.</w:t>
      </w:r>
    </w:p>
    <w:p w14:paraId="66773102" w14:textId="77777777" w:rsidR="008474CC" w:rsidRDefault="008474CC">
      <w:pPr>
        <w:rPr>
          <w:rFonts w:ascii="Sora" w:hAnsi="Sora" w:cs="Sora"/>
          <w:color w:val="4FDA6E"/>
          <w:sz w:val="24"/>
          <w:szCs w:val="24"/>
        </w:rPr>
      </w:pPr>
      <w:bookmarkStart w:id="19" w:name="_Toc235607254"/>
      <w:r>
        <w:br w:type="page"/>
      </w:r>
    </w:p>
    <w:p w14:paraId="6091998C" w14:textId="521E10CC" w:rsidR="00561580" w:rsidRDefault="00000000" w:rsidP="00190D0E">
      <w:pPr>
        <w:pStyle w:val="Heading4"/>
      </w:pPr>
      <w:r>
        <w:lastRenderedPageBreak/>
        <w:t>2.2.10 Fonctionnalités de l'HMI et de l'application mobile</w:t>
      </w:r>
      <w:bookmarkEnd w:id="19"/>
    </w:p>
    <w:p w14:paraId="4CBC8306"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A. La section de surveillance (tableau de bord) de l'HMI et de l'application mobile doit permettre de surveiller en temps réel les informations suivantes sur le VFD :</w:t>
      </w:r>
    </w:p>
    <w:p w14:paraId="76FB5DFC" w14:textId="45A44D85"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 </w:t>
      </w:r>
      <w:r w:rsidRPr="0078475B">
        <w:rPr>
          <w:rFonts w:ascii="Plus Jakarta Sans" w:hAnsi="Plus Jakarta Sans"/>
          <w:sz w:val="20"/>
          <w:szCs w:val="20"/>
        </w:rPr>
        <w:tab/>
        <w:t>Sens de rotation</w:t>
      </w:r>
    </w:p>
    <w:p w14:paraId="24518077" w14:textId="4B3EC1AE" w:rsidR="00561580" w:rsidRPr="0078475B" w:rsidRDefault="00000000" w:rsidP="0078475B">
      <w:pPr>
        <w:spacing w:line="360" w:lineRule="auto"/>
        <w:ind w:firstLine="720"/>
        <w:rPr>
          <w:rFonts w:ascii="Plus Jakarta Sans" w:hAnsi="Plus Jakarta Sans"/>
          <w:color w:val="FF0000"/>
          <w:sz w:val="20"/>
          <w:szCs w:val="20"/>
        </w:rPr>
      </w:pPr>
      <w:r w:rsidRPr="0078475B">
        <w:rPr>
          <w:rFonts w:ascii="Plus Jakarta Sans" w:hAnsi="Plus Jakarta Sans"/>
          <w:sz w:val="20"/>
          <w:szCs w:val="20"/>
        </w:rPr>
        <w:t xml:space="preserve">2. </w:t>
      </w:r>
      <w:r w:rsidRPr="0078475B">
        <w:rPr>
          <w:rFonts w:ascii="Plus Jakarta Sans" w:hAnsi="Plus Jakarta Sans"/>
          <w:sz w:val="20"/>
          <w:szCs w:val="20"/>
        </w:rPr>
        <w:tab/>
        <w:t>État des bornes d'entrées et de sorties numériques et analogiques</w:t>
      </w:r>
    </w:p>
    <w:p w14:paraId="65BA08B4" w14:textId="41990C4C" w:rsidR="00561580" w:rsidRPr="0078475B" w:rsidRDefault="00000000" w:rsidP="0078475B">
      <w:pPr>
        <w:spacing w:line="360" w:lineRule="auto"/>
        <w:ind w:firstLine="720"/>
        <w:rPr>
          <w:rFonts w:ascii="Plus Jakarta Sans" w:hAnsi="Plus Jakarta Sans"/>
          <w:color w:val="000000"/>
          <w:sz w:val="20"/>
          <w:szCs w:val="20"/>
        </w:rPr>
      </w:pPr>
      <w:r w:rsidRPr="0078475B">
        <w:rPr>
          <w:rFonts w:ascii="Plus Jakarta Sans" w:hAnsi="Plus Jakarta Sans"/>
          <w:color w:val="000000"/>
          <w:sz w:val="20"/>
          <w:szCs w:val="20"/>
        </w:rPr>
        <w:t xml:space="preserve">3. </w:t>
      </w:r>
      <w:r w:rsidRPr="0078475B">
        <w:rPr>
          <w:rFonts w:ascii="Plus Jakarta Sans" w:hAnsi="Plus Jakarta Sans"/>
          <w:color w:val="000000"/>
          <w:sz w:val="20"/>
          <w:szCs w:val="20"/>
        </w:rPr>
        <w:tab/>
        <w:t>Informations sur les défauts les plus récents.</w:t>
      </w:r>
    </w:p>
    <w:p w14:paraId="2CECD96D" w14:textId="3DC03C62"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4. </w:t>
      </w:r>
      <w:r w:rsidRPr="0078475B">
        <w:rPr>
          <w:rFonts w:ascii="Plus Jakarta Sans" w:hAnsi="Plus Jakarta Sans"/>
          <w:sz w:val="20"/>
          <w:szCs w:val="20"/>
        </w:rPr>
        <w:tab/>
        <w:t>Compteurs cumulés de fonctionnement réinitialisables du VFD, du moteur et des</w:t>
      </w:r>
      <w:r w:rsidR="00A74CB0">
        <w:rPr>
          <w:rFonts w:ascii="Plus Jakarta Sans" w:hAnsi="Plus Jakarta Sans"/>
          <w:sz w:val="20"/>
          <w:szCs w:val="20"/>
        </w:rPr>
        <w:t xml:space="preserve"> </w:t>
      </w:r>
      <w:r w:rsidRPr="0078475B">
        <w:rPr>
          <w:rFonts w:ascii="Plus Jakarta Sans" w:hAnsi="Plus Jakarta Sans"/>
          <w:sz w:val="20"/>
          <w:szCs w:val="20"/>
        </w:rPr>
        <w:t>ventilateurs de refroidissement.</w:t>
      </w:r>
    </w:p>
    <w:p w14:paraId="155E03FD" w14:textId="005C72CE"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5.</w:t>
      </w:r>
      <w:r w:rsidRPr="0078475B">
        <w:rPr>
          <w:rFonts w:ascii="Plus Jakarta Sans" w:hAnsi="Plus Jakarta Sans"/>
          <w:sz w:val="20"/>
          <w:szCs w:val="20"/>
        </w:rPr>
        <w:tab/>
        <w:t xml:space="preserve"> Nombre de démarrages</w:t>
      </w:r>
    </w:p>
    <w:p w14:paraId="52CBCF22" w14:textId="75ACFBEF"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6. </w:t>
      </w:r>
      <w:r w:rsidRPr="0078475B">
        <w:rPr>
          <w:rFonts w:ascii="Plus Jakarta Sans" w:hAnsi="Plus Jakarta Sans"/>
          <w:sz w:val="20"/>
          <w:szCs w:val="20"/>
        </w:rPr>
        <w:tab/>
        <w:t>Alarme de maintenance, avec fonctions d'acquittement et de réinitialisation</w:t>
      </w:r>
    </w:p>
    <w:p w14:paraId="6FD63D77" w14:textId="0849FB63"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7. </w:t>
      </w:r>
      <w:r w:rsidRPr="0078475B">
        <w:rPr>
          <w:rFonts w:ascii="Plus Jakarta Sans" w:hAnsi="Plus Jakarta Sans"/>
          <w:sz w:val="20"/>
          <w:szCs w:val="20"/>
        </w:rPr>
        <w:tab/>
        <w:t>Fréquence de sortie, vitesse et couple, selon le mode de commande</w:t>
      </w:r>
    </w:p>
    <w:p w14:paraId="0900F093" w14:textId="193DB4B2"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8. </w:t>
      </w:r>
      <w:r w:rsidRPr="0078475B">
        <w:rPr>
          <w:rFonts w:ascii="Plus Jakarta Sans" w:hAnsi="Plus Jakarta Sans"/>
          <w:sz w:val="20"/>
          <w:szCs w:val="20"/>
        </w:rPr>
        <w:tab/>
        <w:t>Consigne de fréquence, de vitesse ou de couple</w:t>
      </w:r>
    </w:p>
    <w:p w14:paraId="0419F213" w14:textId="6F49DF30"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9. </w:t>
      </w:r>
      <w:r w:rsidRPr="0078475B">
        <w:rPr>
          <w:rFonts w:ascii="Plus Jakarta Sans" w:hAnsi="Plus Jakarta Sans"/>
          <w:sz w:val="20"/>
          <w:szCs w:val="20"/>
        </w:rPr>
        <w:tab/>
        <w:t>Affichage des valeurs électriques, des puissances, des tensions, des courants et de la tension du bus CC.</w:t>
      </w:r>
    </w:p>
    <w:p w14:paraId="72687EFE" w14:textId="00041C11"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10. </w:t>
      </w:r>
      <w:r w:rsidRPr="0078475B">
        <w:rPr>
          <w:rFonts w:ascii="Plus Jakarta Sans" w:hAnsi="Plus Jakarta Sans"/>
          <w:sz w:val="20"/>
          <w:szCs w:val="20"/>
        </w:rPr>
        <w:tab/>
        <w:t>Affichage de l’état du refroidissement du VFD</w:t>
      </w:r>
    </w:p>
    <w:p w14:paraId="2DDCCA0A" w14:textId="38B573BF"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11. </w:t>
      </w:r>
      <w:r w:rsidRPr="0078475B">
        <w:rPr>
          <w:rFonts w:ascii="Plus Jakarta Sans" w:hAnsi="Plus Jakarta Sans"/>
          <w:sz w:val="20"/>
          <w:szCs w:val="20"/>
        </w:rPr>
        <w:tab/>
        <w:t>Retour de vitesse</w:t>
      </w:r>
    </w:p>
    <w:p w14:paraId="0A3FAD8A" w14:textId="24262960"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12. </w:t>
      </w:r>
      <w:r w:rsidRPr="0078475B">
        <w:rPr>
          <w:rFonts w:ascii="Plus Jakarta Sans" w:hAnsi="Plus Jakarta Sans"/>
          <w:sz w:val="20"/>
          <w:szCs w:val="20"/>
        </w:rPr>
        <w:tab/>
        <w:t>Valeur de retour PID</w:t>
      </w:r>
    </w:p>
    <w:p w14:paraId="47F13AAF" w14:textId="670E180C"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13. </w:t>
      </w:r>
      <w:r w:rsidRPr="0078475B">
        <w:rPr>
          <w:rFonts w:ascii="Plus Jakarta Sans" w:hAnsi="Plus Jakarta Sans"/>
          <w:sz w:val="20"/>
          <w:szCs w:val="20"/>
        </w:rPr>
        <w:tab/>
        <w:t>Consigne PID</w:t>
      </w:r>
    </w:p>
    <w:p w14:paraId="0C652438" w14:textId="22BD6BD6" w:rsidR="00561580" w:rsidRPr="0078475B" w:rsidRDefault="00000000" w:rsidP="0078475B">
      <w:pPr>
        <w:spacing w:line="360" w:lineRule="auto"/>
        <w:ind w:firstLine="720"/>
        <w:rPr>
          <w:rFonts w:ascii="Plus Jakarta Sans" w:hAnsi="Plus Jakarta Sans"/>
          <w:sz w:val="20"/>
          <w:szCs w:val="20"/>
        </w:rPr>
      </w:pPr>
      <w:r w:rsidRPr="0078475B">
        <w:rPr>
          <w:rFonts w:ascii="Plus Jakarta Sans" w:hAnsi="Plus Jakarta Sans"/>
          <w:sz w:val="20"/>
          <w:szCs w:val="20"/>
        </w:rPr>
        <w:t xml:space="preserve">14. </w:t>
      </w:r>
      <w:r w:rsidRPr="0078475B">
        <w:rPr>
          <w:rFonts w:ascii="Plus Jakarta Sans" w:hAnsi="Plus Jakarta Sans"/>
          <w:sz w:val="20"/>
          <w:szCs w:val="20"/>
        </w:rPr>
        <w:tab/>
        <w:t>État de veille et de réveil, si cette fonction est configurée dans l'application utilisateur</w:t>
      </w:r>
    </w:p>
    <w:p w14:paraId="1F2B2740"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B. Le VFD doit enregistrer les défauts les plus récents dans sa mémoire. Ils doivent pouvoir être affichés sur l'HMI ou dans l'application mobile.</w:t>
      </w:r>
    </w:p>
    <w:p w14:paraId="558D90D9"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C. L'HMI et l'application mobile doivent permettre à l'utilisateur de commander le fonctionnement du VFD : démarrage/arrêt, consigne et sens de rotation.</w:t>
      </w:r>
    </w:p>
    <w:p w14:paraId="32FAC36D"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D. L'application mobile doit permettre à l'utilisateur de générer un fichier contenant des événements horodatés.</w:t>
      </w:r>
    </w:p>
    <w:p w14:paraId="59280A55" w14:textId="2BFD01B2"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E. L'HMI et l'application mobile doivent afficher les défauts du VFD, les informations sur les paramètres et l'enregistrement de la garantie, et fournir un accès immédiat à un lien Web dédié au dépannage.</w:t>
      </w:r>
    </w:p>
    <w:p w14:paraId="702141A2" w14:textId="77777777" w:rsidR="00561580" w:rsidRPr="0085762E"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F. L'HMI et l'application mobile doivent être multilingues.</w:t>
      </w:r>
    </w:p>
    <w:p w14:paraId="46DFCD20" w14:textId="77777777" w:rsidR="00561580" w:rsidRPr="0078475B" w:rsidRDefault="00000000" w:rsidP="0078475B">
      <w:pPr>
        <w:spacing w:line="360" w:lineRule="auto"/>
        <w:rPr>
          <w:rFonts w:ascii="Plus Jakarta Sans" w:hAnsi="Plus Jakarta Sans"/>
          <w:sz w:val="20"/>
          <w:szCs w:val="20"/>
        </w:rPr>
      </w:pPr>
      <w:bookmarkStart w:id="20" w:name="_heading=h.44sinio" w:colFirst="0" w:colLast="0"/>
      <w:bookmarkEnd w:id="20"/>
      <w:r w:rsidRPr="0078475B">
        <w:rPr>
          <w:rFonts w:ascii="Plus Jakarta Sans" w:hAnsi="Plus Jakarta Sans"/>
          <w:sz w:val="20"/>
          <w:szCs w:val="20"/>
        </w:rPr>
        <w:t>G. Le VFD doit intégrer une horloge temps réel programmable (RTC) avec une alimentation de secours intégrée de 24 heures. La durée de secours de la RTC doit pouvoir être prolongée au moyen d'une pile CR2032.</w:t>
      </w:r>
    </w:p>
    <w:p w14:paraId="12CD2669"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H. L'HMI doit permettre le réglage du contraste.</w:t>
      </w:r>
    </w:p>
    <w:p w14:paraId="63473F31" w14:textId="77777777"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I. L'HMI doit comporter un réglage du délai d'inactivité automatique.</w:t>
      </w:r>
    </w:p>
    <w:p w14:paraId="3F502BB8"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lastRenderedPageBreak/>
        <w:t>J. Par défaut, l'HMI doit adopter une couleur clairement visible selon son état. Le code couleur doit permettre à l'utilisateur d'identifier clairement les états de jumelage, d'alarme, de fonctionnement et de mise à jour.</w:t>
      </w:r>
    </w:p>
    <w:p w14:paraId="01AA016C"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K. L'application mobile doit permettre d'enregistrer les paramètres afin de les partager, de les télécharger ou de les dupliquer ultérieurement.</w:t>
      </w:r>
    </w:p>
    <w:p w14:paraId="72053BF6" w14:textId="0375A725" w:rsidR="00561580" w:rsidRDefault="00000000" w:rsidP="00190D0E">
      <w:pPr>
        <w:pStyle w:val="Heading4"/>
      </w:pPr>
      <w:bookmarkStart w:id="21" w:name="_Toc235607255"/>
      <w:r>
        <w:t>2.2.11 Bornes de câblage de commande</w:t>
      </w:r>
      <w:bookmarkEnd w:id="21"/>
    </w:p>
    <w:p w14:paraId="4DDA4142" w14:textId="2436DCFD"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bornier de commande standard (CTB) doit comporter toutes les bornes requises pour commander et surveiller le VFD en fonctionnement normal.</w:t>
      </w:r>
    </w:p>
    <w:p w14:paraId="49064DC7"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Le CTB doit rendre tout le câblage de commande du VFD accessible par un seul panneau d'accès.</w:t>
      </w:r>
    </w:p>
    <w:p w14:paraId="3FF12EFF" w14:textId="51AD729E"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C. Le CTB doit comporter au minimum les bornes suivantes :</w:t>
      </w:r>
    </w:p>
    <w:p w14:paraId="22A4C667" w14:textId="0C0DD87F"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1. Six entrées numériques multifonctions, chacune configurable pour toute fonction du VFD.</w:t>
      </w:r>
    </w:p>
    <w:p w14:paraId="265C2820"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1. Logique à absorption ou à source sélectionnable par logiciel.</w:t>
      </w:r>
    </w:p>
    <w:p w14:paraId="387C0AC6"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2. Fonctionnement normalement ouvert ou normalement fermé sélectionnable par logiciel.</w:t>
      </w:r>
    </w:p>
    <w:p w14:paraId="09B61BC9"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3. Deux entrées numériques doivent accepter un retour de codeur incrémental.</w:t>
      </w:r>
    </w:p>
    <w:p w14:paraId="2A5496EF"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2. Une sortie relais multifonction, forme C (SPDT),</w:t>
      </w:r>
      <w:r w:rsidRPr="0078475B">
        <w:rPr>
          <w:rFonts w:ascii="Plus Jakarta Sans" w:hAnsi="Plus Jakarta Sans"/>
          <w:color w:val="000000"/>
          <w:sz w:val="20"/>
          <w:szCs w:val="20"/>
        </w:rPr>
        <w:br/>
        <w:t>programmable pour toute fonction du VFD.</w:t>
      </w:r>
    </w:p>
    <w:p w14:paraId="0A2F090C"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1. Fonctionnement normalement ouvert ou normalement fermé sélectionnable par logiciel.</w:t>
      </w:r>
    </w:p>
    <w:p w14:paraId="497ACA01"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2. Contacts assignés à 250 VCA, 5 A, ou à 30 VCC, 5 A, pour une charge résistive.</w:t>
      </w:r>
    </w:p>
    <w:p w14:paraId="06A46E7F"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3. Deux sorties relais multifonctions, forme A (NO),</w:t>
      </w:r>
      <w:r w:rsidRPr="0078475B">
        <w:rPr>
          <w:rFonts w:ascii="Plus Jakarta Sans" w:hAnsi="Plus Jakarta Sans"/>
          <w:color w:val="000000"/>
          <w:sz w:val="20"/>
          <w:szCs w:val="20"/>
        </w:rPr>
        <w:br/>
        <w:t>programmables pour toute fonction du VFD.</w:t>
      </w:r>
    </w:p>
    <w:p w14:paraId="6D2FA15A"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1. Fonctionnement normalement ouvert ou normalement fermé sélectionnable par logiciel.</w:t>
      </w:r>
    </w:p>
    <w:p w14:paraId="574DE1C5" w14:textId="77777777" w:rsidR="00561580" w:rsidRPr="0078475B" w:rsidRDefault="00000000" w:rsidP="0078475B">
      <w:pPr>
        <w:spacing w:line="360" w:lineRule="auto"/>
        <w:ind w:left="720" w:firstLine="720"/>
        <w:rPr>
          <w:rFonts w:ascii="Plus Jakarta Sans" w:hAnsi="Plus Jakarta Sans"/>
          <w:color w:val="000000"/>
          <w:sz w:val="20"/>
          <w:szCs w:val="20"/>
        </w:rPr>
      </w:pPr>
      <w:r w:rsidRPr="0078475B">
        <w:rPr>
          <w:rFonts w:ascii="Plus Jakarta Sans" w:hAnsi="Plus Jakarta Sans"/>
          <w:color w:val="000000"/>
          <w:sz w:val="20"/>
          <w:szCs w:val="20"/>
        </w:rPr>
        <w:t>2. Contacts assignés à 250 VCA, 3 A, ou à 30 VCC, 3 A, pour une charge résistive.</w:t>
      </w:r>
    </w:p>
    <w:p w14:paraId="61DB27F1" w14:textId="024B7C27" w:rsidR="00561580" w:rsidRPr="0078475B" w:rsidRDefault="00213AC3" w:rsidP="0078475B">
      <w:pPr>
        <w:spacing w:line="360" w:lineRule="auto"/>
        <w:ind w:left="720"/>
        <w:rPr>
          <w:rFonts w:ascii="Plus Jakarta Sans" w:hAnsi="Plus Jakarta Sans"/>
          <w:color w:val="FF0000"/>
          <w:sz w:val="20"/>
          <w:szCs w:val="20"/>
        </w:rPr>
      </w:pPr>
      <w:r w:rsidRPr="0078475B">
        <w:rPr>
          <w:rFonts w:ascii="Plus Jakarta Sans" w:hAnsi="Plus Jakarta Sans"/>
          <w:color w:val="000000"/>
          <w:sz w:val="20"/>
          <w:szCs w:val="20"/>
        </w:rPr>
        <w:t>4. Trois entrées analogiques multifonctions : 0...10 VCC, 0...20 mA, 4...20 mA,</w:t>
      </w:r>
      <w:r w:rsidRPr="0078475B">
        <w:rPr>
          <w:rFonts w:ascii="Plus Jakarta Sans" w:hAnsi="Plus Jakarta Sans"/>
          <w:color w:val="000000"/>
          <w:sz w:val="20"/>
          <w:szCs w:val="20"/>
        </w:rPr>
        <w:br/>
        <w:t>ou impédance pour sonde de température PTC.</w:t>
      </w:r>
    </w:p>
    <w:p w14:paraId="2F983F8A" w14:textId="31F1EDA8"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5. Deux sorties analogiques multifonctions : 0...10 VCC ou 4...20 mA,</w:t>
      </w:r>
      <w:r w:rsidRPr="0078475B">
        <w:rPr>
          <w:rFonts w:ascii="Plus Jakarta Sans" w:hAnsi="Plus Jakarta Sans"/>
          <w:color w:val="000000"/>
          <w:sz w:val="20"/>
          <w:szCs w:val="20"/>
        </w:rPr>
        <w:br/>
        <w:t>programmables pour toute fonction du VFD.</w:t>
      </w:r>
    </w:p>
    <w:p w14:paraId="7ECA55B0" w14:textId="077D4057"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6. Une sortie auxiliaire 24 VCC (-20 % / +20 %), 100 mA, pour les entrées numériques, protégée contre les courts-circuits.</w:t>
      </w:r>
    </w:p>
    <w:p w14:paraId="334648DC" w14:textId="5D1C94C4"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7. Une entrée 24 VCC (-20 % / +20 %) pour alimentation externe,</w:t>
      </w:r>
      <w:r w:rsidRPr="0078475B">
        <w:rPr>
          <w:rFonts w:ascii="Plus Jakarta Sans" w:hAnsi="Plus Jakarta Sans"/>
          <w:color w:val="000000"/>
          <w:sz w:val="20"/>
          <w:szCs w:val="20"/>
        </w:rPr>
        <w:br/>
        <w:t>protégée contre l'inversion de polarité et les surtensions.</w:t>
      </w:r>
    </w:p>
    <w:p w14:paraId="2A65E695" w14:textId="117CBB0A"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8. Une sortie de référence 10 VCC (10 mA) pour les entrées analogiques,</w:t>
      </w:r>
      <w:r w:rsidRPr="0078475B">
        <w:rPr>
          <w:rFonts w:ascii="Plus Jakarta Sans" w:hAnsi="Plus Jakarta Sans"/>
          <w:color w:val="000000"/>
          <w:sz w:val="20"/>
          <w:szCs w:val="20"/>
        </w:rPr>
        <w:br/>
        <w:t>protégée contre les courts-circuits.</w:t>
      </w:r>
    </w:p>
    <w:p w14:paraId="224BA09F" w14:textId="6353009D"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9. Deux entrées numériques avec circuits matériels conçus pour désactiver le couple.</w:t>
      </w:r>
    </w:p>
    <w:p w14:paraId="65D9A1A1" w14:textId="77777777" w:rsidR="008474CC" w:rsidRDefault="008474CC">
      <w:pPr>
        <w:rPr>
          <w:rFonts w:ascii="Sora" w:hAnsi="Sora" w:cs="Sora"/>
          <w:color w:val="4FDA6E"/>
          <w:sz w:val="28"/>
          <w:szCs w:val="28"/>
        </w:rPr>
      </w:pPr>
      <w:bookmarkStart w:id="22" w:name="_Toc235607256"/>
    </w:p>
    <w:p w14:paraId="08B44081" w14:textId="059FFDD6" w:rsidR="00561580" w:rsidRDefault="00000000" w:rsidP="00190D0E">
      <w:pPr>
        <w:pStyle w:val="Heading3"/>
      </w:pPr>
      <w:r>
        <w:t>2.3 Performances du VFD</w:t>
      </w:r>
      <w:bookmarkEnd w:id="22"/>
    </w:p>
    <w:p w14:paraId="061B4D70" w14:textId="1214AF19"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Le VFD doit pouvoir effectuer l'autoréglage des paramètres du moteur par mesure, avec et sans rotation, sans qu'il soit nécessaire de désaccoupler la charge du moteur.</w:t>
      </w:r>
    </w:p>
    <w:p w14:paraId="60767A7B" w14:textId="77777777" w:rsidR="00561580" w:rsidRDefault="00000000" w:rsidP="00190D0E">
      <w:pPr>
        <w:pStyle w:val="Heading4"/>
      </w:pPr>
      <w:bookmarkStart w:id="23" w:name="_Toc235607257"/>
      <w:r>
        <w:t>2.3.1 Protections</w:t>
      </w:r>
      <w:bookmarkEnd w:id="23"/>
    </w:p>
    <w:p w14:paraId="3C45B4C0"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VFD doit être homologué UL 61800-5-1 pour une utilisation sur les réseaux de distribution.</w:t>
      </w:r>
    </w:p>
    <w:p w14:paraId="5933EB16"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Le VFD doit présenter des caractéristiques nominales coordonnées de court-circuit conformes à UL 61800-5-1.</w:t>
      </w:r>
    </w:p>
    <w:p w14:paraId="37CE93D1" w14:textId="45D70B62"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 xml:space="preserve">C. Le VFD doit résister aux interruptions d'alimentation de longue et de courte durée lorsque la tension est inférieure à 50 % de Vn, conformément à </w:t>
      </w:r>
      <w:r w:rsidR="00A74CB0">
        <w:rPr>
          <w:rFonts w:ascii="Plus Jakarta Sans" w:hAnsi="Plus Jakarta Sans"/>
          <w:sz w:val="20"/>
          <w:szCs w:val="20"/>
        </w:rPr>
        <w:t>CEI</w:t>
      </w:r>
      <w:r w:rsidRPr="0078475B">
        <w:rPr>
          <w:rFonts w:ascii="Plus Jakarta Sans" w:hAnsi="Plus Jakarta Sans"/>
          <w:sz w:val="20"/>
          <w:szCs w:val="20"/>
        </w:rPr>
        <w:t xml:space="preserve"> 61000-4-11 et </w:t>
      </w:r>
      <w:r w:rsidR="00A74CB0">
        <w:rPr>
          <w:rFonts w:ascii="Plus Jakarta Sans" w:hAnsi="Plus Jakarta Sans"/>
          <w:sz w:val="20"/>
          <w:szCs w:val="20"/>
        </w:rPr>
        <w:t>CEI</w:t>
      </w:r>
      <w:r w:rsidRPr="0078475B">
        <w:rPr>
          <w:rFonts w:ascii="Plus Jakarta Sans" w:hAnsi="Plus Jakarta Sans"/>
          <w:sz w:val="20"/>
          <w:szCs w:val="20"/>
        </w:rPr>
        <w:t xml:space="preserve"> 61000-4-34.</w:t>
      </w:r>
    </w:p>
    <w:p w14:paraId="0B099730" w14:textId="57C974D9" w:rsidR="00561580" w:rsidRPr="0078475B" w:rsidRDefault="00000000" w:rsidP="0078475B">
      <w:pPr>
        <w:spacing w:line="360" w:lineRule="auto"/>
        <w:rPr>
          <w:rFonts w:ascii="Plus Jakarta Sans" w:hAnsi="Plus Jakarta Sans"/>
          <w:sz w:val="20"/>
          <w:szCs w:val="20"/>
        </w:rPr>
      </w:pPr>
      <w:r w:rsidRPr="0078475B">
        <w:rPr>
          <w:rFonts w:ascii="Plus Jakarta Sans" w:hAnsi="Plus Jakarta Sans"/>
          <w:sz w:val="20"/>
          <w:szCs w:val="20"/>
        </w:rPr>
        <w:t xml:space="preserve">D. Le VFD doit résister aux creux de tension compris entre 50 % de Vn et 85 % de Vn, conformément à </w:t>
      </w:r>
      <w:r w:rsidR="00A74CB0">
        <w:rPr>
          <w:rFonts w:ascii="Plus Jakarta Sans" w:hAnsi="Plus Jakarta Sans"/>
          <w:sz w:val="20"/>
          <w:szCs w:val="20"/>
        </w:rPr>
        <w:t>CEI</w:t>
      </w:r>
      <w:r w:rsidRPr="0078475B">
        <w:rPr>
          <w:rFonts w:ascii="Plus Jakarta Sans" w:hAnsi="Plus Jakarta Sans"/>
          <w:sz w:val="20"/>
          <w:szCs w:val="20"/>
        </w:rPr>
        <w:t xml:space="preserve"> 61000-4-11 et </w:t>
      </w:r>
      <w:r w:rsidR="00A74CB0">
        <w:rPr>
          <w:rFonts w:ascii="Plus Jakarta Sans" w:hAnsi="Plus Jakarta Sans"/>
          <w:sz w:val="20"/>
          <w:szCs w:val="20"/>
        </w:rPr>
        <w:t>CEI</w:t>
      </w:r>
      <w:r w:rsidRPr="0078475B">
        <w:rPr>
          <w:rFonts w:ascii="Plus Jakarta Sans" w:hAnsi="Plus Jakarta Sans"/>
          <w:sz w:val="20"/>
          <w:szCs w:val="20"/>
        </w:rPr>
        <w:t xml:space="preserve"> 61000-4-34.</w:t>
      </w:r>
    </w:p>
    <w:p w14:paraId="5029E450" w14:textId="2252A517"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E. Le VFD doit être protégé contre les courts-circuits entre phases de sortie, entre une phase de sortie et la terre, ainsi que sur les sorties logiques et analogiques.</w:t>
      </w:r>
    </w:p>
    <w:p w14:paraId="7228B564" w14:textId="68DAA86D"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F. Le VFD doit comporter une fonction sélectionnable de maintien en cas de creux de tension (LVRT), permettant à la logique de conserver la commande pendant au moins une seconde sans déclenchement.</w:t>
      </w:r>
    </w:p>
    <w:p w14:paraId="1EC39F7D" w14:textId="666432F5"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G. Le mode de décélération du VFD doit être programmable par l'utilisateur et automatiquement adapté afin d'éviter les déclenchements.</w:t>
      </w:r>
    </w:p>
    <w:p w14:paraId="54A3A63D" w14:textId="602B6949" w:rsidR="00561580" w:rsidRPr="0078475B" w:rsidRDefault="0085762E" w:rsidP="0085762E">
      <w:pPr>
        <w:spacing w:line="360" w:lineRule="auto"/>
        <w:rPr>
          <w:rFonts w:ascii="Plus Jakarta Sans" w:hAnsi="Plus Jakarta Sans"/>
          <w:color w:val="FF0000"/>
          <w:sz w:val="20"/>
          <w:szCs w:val="20"/>
        </w:rPr>
      </w:pPr>
      <w:r>
        <w:rPr>
          <w:rFonts w:ascii="Plus Jakarta Sans" w:hAnsi="Plus Jakarta Sans"/>
          <w:color w:val="0D0D0D"/>
          <w:sz w:val="20"/>
          <w:szCs w:val="20"/>
        </w:rPr>
        <w:t>H. Les modes d'arrêt doivent comprendre l'arrêt en roue libre et l'arrêt sur rampe de décélération.</w:t>
      </w:r>
    </w:p>
    <w:p w14:paraId="252D61BB" w14:textId="64BF1B44"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I. Le VFD doit intégrer une protection contre la surchauffe des transistors de puissance de sortie et du dissipateur thermique.</w:t>
      </w:r>
    </w:p>
    <w:p w14:paraId="590B082B" w14:textId="5EF7E4E7"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 xml:space="preserve">J. Le VFD doit intégrer une protection thermique électronique du moteur conforme à UL 508C comme protection de surcharge de classe 10 et conforme à </w:t>
      </w:r>
      <w:r w:rsidR="00A74CB0">
        <w:rPr>
          <w:rFonts w:ascii="Plus Jakarta Sans" w:hAnsi="Plus Jakarta Sans"/>
          <w:sz w:val="20"/>
          <w:szCs w:val="20"/>
        </w:rPr>
        <w:t>CEI</w:t>
      </w:r>
      <w:r>
        <w:rPr>
          <w:rFonts w:ascii="Plus Jakarta Sans" w:hAnsi="Plus Jakarta Sans"/>
          <w:sz w:val="20"/>
          <w:szCs w:val="20"/>
        </w:rPr>
        <w:t xml:space="preserve"> 60947.</w:t>
      </w:r>
    </w:p>
    <w:p w14:paraId="17452D2B" w14:textId="305C239D"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K. Le VFD doit comporter une fonction de mémorisation thermique du moteur conforme aux exigences UL.</w:t>
      </w:r>
    </w:p>
    <w:p w14:paraId="53E29267" w14:textId="74B1EDA3"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L. Le VFD doit pouvoir protéger le moteur lorsque des sondes de température sont raccordées.</w:t>
      </w:r>
    </w:p>
    <w:p w14:paraId="361753B5" w14:textId="51CC686E" w:rsidR="00561580" w:rsidRPr="0078475B" w:rsidRDefault="0085762E" w:rsidP="0078475B">
      <w:pPr>
        <w:spacing w:line="360" w:lineRule="auto"/>
        <w:rPr>
          <w:rFonts w:ascii="Plus Jakarta Sans" w:hAnsi="Plus Jakarta Sans"/>
          <w:sz w:val="20"/>
          <w:szCs w:val="20"/>
        </w:rPr>
      </w:pPr>
      <w:r>
        <w:rPr>
          <w:rFonts w:ascii="Plus Jakarta Sans" w:hAnsi="Plus Jakarta Sans"/>
          <w:sz w:val="20"/>
          <w:szCs w:val="20"/>
        </w:rPr>
        <w:t>M. Le VFD doit assurer la protection des transistors de puissance de sortie :</w:t>
      </w:r>
    </w:p>
    <w:p w14:paraId="37F31BE0" w14:textId="0A372F32" w:rsidR="00561580" w:rsidRPr="0078475B" w:rsidRDefault="00000000"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1. </w:t>
      </w:r>
      <w:r w:rsidRPr="0078475B">
        <w:rPr>
          <w:rFonts w:ascii="Plus Jakarta Sans" w:hAnsi="Plus Jakarta Sans"/>
          <w:sz w:val="20"/>
          <w:szCs w:val="20"/>
        </w:rPr>
        <w:tab/>
        <w:t>Protection contre les surintensités des SiC</w:t>
      </w:r>
    </w:p>
    <w:p w14:paraId="0CE3E1CC" w14:textId="10638673"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N. Le VFD doit assurer les protections suivantes du courant de sortie :</w:t>
      </w:r>
    </w:p>
    <w:p w14:paraId="1D5A128C" w14:textId="021A475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Protection contre les courts-circuits entre phases</w:t>
      </w:r>
    </w:p>
    <w:p w14:paraId="23864A9F" w14:textId="452F9498" w:rsidR="00561580" w:rsidRPr="0078475B" w:rsidRDefault="00000000"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2. </w:t>
      </w:r>
      <w:r w:rsidRPr="0078475B">
        <w:rPr>
          <w:rFonts w:ascii="Plus Jakarta Sans" w:hAnsi="Plus Jakarta Sans"/>
          <w:sz w:val="20"/>
          <w:szCs w:val="20"/>
        </w:rPr>
        <w:tab/>
        <w:t>Protection contre les défauts à la terre</w:t>
      </w:r>
    </w:p>
    <w:p w14:paraId="71E96D5B" w14:textId="4D6469B5"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3. </w:t>
      </w:r>
      <w:r w:rsidRPr="0078475B">
        <w:rPr>
          <w:rFonts w:ascii="Plus Jakarta Sans" w:hAnsi="Plus Jakarta Sans"/>
          <w:color w:val="000000"/>
          <w:sz w:val="20"/>
          <w:szCs w:val="20"/>
        </w:rPr>
        <w:tab/>
        <w:t>Protection contre les surintensités</w:t>
      </w:r>
    </w:p>
    <w:p w14:paraId="231533B9" w14:textId="3C28CE41"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O. Le VFD doit assurer les protections suivantes contre les défauts de tension :</w:t>
      </w:r>
    </w:p>
    <w:p w14:paraId="7F6DF6D4" w14:textId="2038111C"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lastRenderedPageBreak/>
        <w:t xml:space="preserve">1. </w:t>
      </w:r>
      <w:r w:rsidRPr="0078475B">
        <w:rPr>
          <w:rFonts w:ascii="Plus Jakarta Sans" w:hAnsi="Plus Jakarta Sans"/>
          <w:color w:val="000000"/>
          <w:sz w:val="20"/>
          <w:szCs w:val="20"/>
        </w:rPr>
        <w:tab/>
        <w:t>Avertissement de surtension du réseau</w:t>
      </w:r>
    </w:p>
    <w:p w14:paraId="38A30CD1" w14:textId="21F5162C"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Avertissement de sous-tension du réseau</w:t>
      </w:r>
    </w:p>
    <w:p w14:paraId="622F73AF" w14:textId="526055E6"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3. </w:t>
      </w:r>
      <w:r w:rsidRPr="0078475B">
        <w:rPr>
          <w:rFonts w:ascii="Plus Jakarta Sans" w:hAnsi="Plus Jakarta Sans"/>
          <w:color w:val="000000"/>
          <w:sz w:val="20"/>
          <w:szCs w:val="20"/>
        </w:rPr>
        <w:tab/>
        <w:t>Protection contre la surtension du bus CC</w:t>
      </w:r>
    </w:p>
    <w:p w14:paraId="5175DE89" w14:textId="54CC3012"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4. </w:t>
      </w:r>
      <w:r w:rsidRPr="0078475B">
        <w:rPr>
          <w:rFonts w:ascii="Plus Jakarta Sans" w:hAnsi="Plus Jakarta Sans"/>
          <w:color w:val="000000"/>
          <w:sz w:val="20"/>
          <w:szCs w:val="20"/>
        </w:rPr>
        <w:tab/>
        <w:t>Protection de la précharge du bus CC</w:t>
      </w:r>
    </w:p>
    <w:p w14:paraId="31E6FF11" w14:textId="5B4CE7C4"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P. Le VFD doit assurer les protections thermiques suivantes :</w:t>
      </w:r>
    </w:p>
    <w:p w14:paraId="05D40C17" w14:textId="385D0260"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Alarme de température élevée du VFD</w:t>
      </w:r>
    </w:p>
    <w:p w14:paraId="32E08AD3" w14:textId="648A6949"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Protection contre la surchauffe du VFD</w:t>
      </w:r>
      <w:r w:rsidRPr="0078475B">
        <w:rPr>
          <w:rFonts w:ascii="Plus Jakarta Sans" w:hAnsi="Plus Jakarta Sans"/>
          <w:color w:val="000000"/>
          <w:sz w:val="20"/>
          <w:szCs w:val="20"/>
        </w:rPr>
        <w:br/>
        <w:t xml:space="preserve">3. </w:t>
      </w:r>
      <w:r w:rsidRPr="0078475B">
        <w:rPr>
          <w:rFonts w:ascii="Plus Jakarta Sans" w:hAnsi="Plus Jakarta Sans"/>
          <w:color w:val="000000"/>
          <w:sz w:val="20"/>
          <w:szCs w:val="20"/>
        </w:rPr>
        <w:tab/>
        <w:t>Détection du fonctionnement anormal des ventilateurs de refroidissement</w:t>
      </w:r>
    </w:p>
    <w:p w14:paraId="6B3A8A88" w14:textId="115F36C7"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Q. Le VFD doit assurer la détection des erreurs internes.</w:t>
      </w:r>
    </w:p>
    <w:p w14:paraId="3FE160FE" w14:textId="0247AAC0"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R. Le VFD doit assurer les fonctions de protection du moteur suivantes :</w:t>
      </w:r>
    </w:p>
    <w:p w14:paraId="4452C52B" w14:textId="2CF601B8"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Détection de perte de phase en sortie vers le moteur</w:t>
      </w:r>
    </w:p>
    <w:p w14:paraId="3662D4BE" w14:textId="74ACAE68"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2.</w:t>
      </w:r>
      <w:r w:rsidRPr="0078475B">
        <w:rPr>
          <w:rFonts w:ascii="Plus Jakarta Sans" w:hAnsi="Plus Jakarta Sans"/>
          <w:color w:val="000000"/>
          <w:sz w:val="20"/>
          <w:szCs w:val="20"/>
        </w:rPr>
        <w:tab/>
        <w:t xml:space="preserve"> Détection de surcharge du moteur</w:t>
      </w:r>
    </w:p>
    <w:p w14:paraId="088859DD" w14:textId="1FABBF53" w:rsidR="00561580" w:rsidRDefault="00000000"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3. </w:t>
      </w:r>
      <w:r w:rsidRPr="0078475B">
        <w:rPr>
          <w:rFonts w:ascii="Plus Jakarta Sans" w:hAnsi="Plus Jakarta Sans"/>
          <w:sz w:val="20"/>
          <w:szCs w:val="20"/>
        </w:rPr>
        <w:tab/>
        <w:t>Protection contre le blocage du moteur</w:t>
      </w:r>
    </w:p>
    <w:p w14:paraId="59DE99F4" w14:textId="4A72EB19" w:rsidR="008474CC" w:rsidRPr="0078475B" w:rsidRDefault="008474CC" w:rsidP="0078475B">
      <w:pPr>
        <w:spacing w:line="360" w:lineRule="auto"/>
        <w:ind w:left="720"/>
        <w:rPr>
          <w:rFonts w:ascii="Plus Jakarta Sans" w:hAnsi="Plus Jakarta Sans"/>
          <w:sz w:val="20"/>
          <w:szCs w:val="20"/>
        </w:rPr>
      </w:pPr>
      <w:r>
        <w:rPr>
          <w:rFonts w:ascii="Plus Jakarta Sans" w:hAnsi="Plus Jakarta Sans"/>
          <w:sz w:val="20"/>
          <w:szCs w:val="20"/>
        </w:rPr>
        <w:t>4.</w:t>
      </w:r>
      <w:r>
        <w:rPr>
          <w:rFonts w:ascii="Plus Jakarta Sans" w:hAnsi="Plus Jakarta Sans"/>
          <w:sz w:val="20"/>
          <w:szCs w:val="20"/>
        </w:rPr>
        <w:tab/>
        <w:t>Détection de défaut à la terre du moteur</w:t>
      </w:r>
    </w:p>
    <w:p w14:paraId="71EC28C8" w14:textId="2A644BED"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S. Le VFD doit assurer les fonctions de protection de l'application suivantes :</w:t>
      </w:r>
    </w:p>
    <w:p w14:paraId="7CC71E19" w14:textId="35B2021D"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Protection contre la perte d'une phase d'entrée du réseau</w:t>
      </w:r>
    </w:p>
    <w:p w14:paraId="7DDAAAC0" w14:textId="0907D8D2"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2. </w:t>
      </w:r>
      <w:r w:rsidRPr="0078475B">
        <w:rPr>
          <w:rFonts w:ascii="Plus Jakarta Sans" w:hAnsi="Plus Jakarta Sans"/>
          <w:sz w:val="20"/>
          <w:szCs w:val="20"/>
        </w:rPr>
        <w:tab/>
        <w:t>Protection contre la survitesse du moteur</w:t>
      </w:r>
    </w:p>
    <w:p w14:paraId="48D589C0" w14:textId="0D15B24E"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3. </w:t>
      </w:r>
      <w:r w:rsidRPr="0078475B">
        <w:rPr>
          <w:rFonts w:ascii="Plus Jakarta Sans" w:hAnsi="Plus Jakarta Sans"/>
          <w:sz w:val="20"/>
          <w:szCs w:val="20"/>
        </w:rPr>
        <w:tab/>
        <w:t>Limitation de courant</w:t>
      </w:r>
    </w:p>
    <w:p w14:paraId="43126A49" w14:textId="14660ECA"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4. </w:t>
      </w:r>
      <w:r w:rsidRPr="0078475B">
        <w:rPr>
          <w:rFonts w:ascii="Plus Jakarta Sans" w:hAnsi="Plus Jakarta Sans"/>
          <w:sz w:val="20"/>
          <w:szCs w:val="20"/>
        </w:rPr>
        <w:tab/>
        <w:t>Limitation de puissance</w:t>
      </w:r>
    </w:p>
    <w:p w14:paraId="34843CB3" w14:textId="2A52148E"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5. </w:t>
      </w:r>
      <w:r w:rsidRPr="0078475B">
        <w:rPr>
          <w:rFonts w:ascii="Plus Jakarta Sans" w:hAnsi="Plus Jakarta Sans"/>
          <w:color w:val="000000"/>
          <w:sz w:val="20"/>
          <w:szCs w:val="20"/>
        </w:rPr>
        <w:tab/>
        <w:t>Interdiction du sens inverse</w:t>
      </w:r>
    </w:p>
    <w:p w14:paraId="5019721F" w14:textId="29EB55C4"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6. </w:t>
      </w:r>
      <w:r w:rsidRPr="0078475B">
        <w:rPr>
          <w:rFonts w:ascii="Plus Jakarta Sans" w:hAnsi="Plus Jakarta Sans"/>
          <w:sz w:val="20"/>
          <w:szCs w:val="20"/>
        </w:rPr>
        <w:tab/>
        <w:t>Protection contre la sous-charge</w:t>
      </w:r>
    </w:p>
    <w:p w14:paraId="7B3BF9F5" w14:textId="4446134C"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7. </w:t>
      </w:r>
      <w:r w:rsidRPr="0078475B">
        <w:rPr>
          <w:rFonts w:ascii="Plus Jakarta Sans" w:hAnsi="Plus Jakarta Sans"/>
          <w:color w:val="000000"/>
          <w:sz w:val="20"/>
          <w:szCs w:val="20"/>
        </w:rPr>
        <w:tab/>
        <w:t>Protection contre la surcharge</w:t>
      </w:r>
    </w:p>
    <w:p w14:paraId="46F11F05" w14:textId="4F5F354F"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8. </w:t>
      </w:r>
      <w:r w:rsidRPr="0078475B">
        <w:rPr>
          <w:rFonts w:ascii="Plus Jakarta Sans" w:hAnsi="Plus Jakarta Sans"/>
          <w:sz w:val="20"/>
          <w:szCs w:val="20"/>
        </w:rPr>
        <w:tab/>
        <w:t>Perte du signal d'entrée analogique</w:t>
      </w:r>
    </w:p>
    <w:p w14:paraId="2B3FD5C3" w14:textId="128CE45B" w:rsidR="00561580" w:rsidRPr="0078475B" w:rsidRDefault="00213AC3" w:rsidP="0078475B">
      <w:pPr>
        <w:spacing w:line="360" w:lineRule="auto"/>
        <w:ind w:left="720"/>
        <w:rPr>
          <w:rFonts w:ascii="Plus Jakarta Sans" w:hAnsi="Plus Jakarta Sans"/>
          <w:sz w:val="20"/>
          <w:szCs w:val="20"/>
        </w:rPr>
      </w:pPr>
      <w:r w:rsidRPr="0078475B">
        <w:rPr>
          <w:rFonts w:ascii="Plus Jakarta Sans" w:hAnsi="Plus Jakarta Sans"/>
          <w:sz w:val="20"/>
          <w:szCs w:val="20"/>
        </w:rPr>
        <w:t xml:space="preserve">9. </w:t>
      </w:r>
      <w:r w:rsidRPr="0078475B">
        <w:rPr>
          <w:rFonts w:ascii="Plus Jakarta Sans" w:hAnsi="Plus Jakarta Sans"/>
          <w:sz w:val="20"/>
          <w:szCs w:val="20"/>
        </w:rPr>
        <w:tab/>
        <w:t>Gestion des capteurs thermiques</w:t>
      </w:r>
    </w:p>
    <w:p w14:paraId="4AF8769A" w14:textId="1D06CEAA" w:rsidR="00561580" w:rsidRPr="008474CC" w:rsidRDefault="00213AC3">
      <w:pPr>
        <w:spacing w:line="360" w:lineRule="auto"/>
        <w:ind w:left="720"/>
        <w:rPr>
          <w:rFonts w:ascii="Plus Jakarta Sans" w:hAnsi="Plus Jakarta Sans"/>
          <w:sz w:val="20"/>
          <w:szCs w:val="20"/>
        </w:rPr>
      </w:pPr>
      <w:r w:rsidRPr="008474CC">
        <w:rPr>
          <w:rFonts w:ascii="Plus Jakarta Sans" w:hAnsi="Plus Jakarta Sans"/>
          <w:sz w:val="20"/>
          <w:szCs w:val="20"/>
        </w:rPr>
        <w:t xml:space="preserve">10. </w:t>
      </w:r>
      <w:r w:rsidRPr="008474CC">
        <w:rPr>
          <w:rFonts w:ascii="Plus Jakarta Sans" w:hAnsi="Plus Jakarta Sans"/>
          <w:sz w:val="20"/>
          <w:szCs w:val="20"/>
        </w:rPr>
        <w:tab/>
        <w:t>Retour PID</w:t>
      </w:r>
    </w:p>
    <w:p w14:paraId="298AD2DF" w14:textId="77777777" w:rsidR="008474CC" w:rsidRDefault="008474CC">
      <w:pPr>
        <w:rPr>
          <w:rFonts w:ascii="Sora" w:hAnsi="Sora" w:cs="Sora"/>
          <w:color w:val="4FDA6E"/>
          <w:sz w:val="24"/>
          <w:szCs w:val="24"/>
        </w:rPr>
      </w:pPr>
      <w:bookmarkStart w:id="24" w:name="_Toc235607258"/>
      <w:r>
        <w:br w:type="page"/>
      </w:r>
    </w:p>
    <w:p w14:paraId="38EAC6D7" w14:textId="29332122" w:rsidR="00561580" w:rsidRDefault="00000000" w:rsidP="00190D0E">
      <w:pPr>
        <w:pStyle w:val="Heading4"/>
      </w:pPr>
      <w:r>
        <w:lastRenderedPageBreak/>
        <w:t>2.3.2 Fonctionnement</w:t>
      </w:r>
      <w:bookmarkEnd w:id="24"/>
    </w:p>
    <w:p w14:paraId="21DAF83B" w14:textId="647D6A9D"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VFD doit pouvoir accepter des commandes et des signaux de consigne indépendants provenant des sources suivantes :</w:t>
      </w:r>
    </w:p>
    <w:p w14:paraId="6871A5E8"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1.</w:t>
      </w:r>
      <w:r w:rsidRPr="0078475B">
        <w:rPr>
          <w:rFonts w:ascii="Plus Jakarta Sans" w:hAnsi="Plus Jakarta Sans"/>
          <w:color w:val="000000"/>
          <w:sz w:val="20"/>
          <w:szCs w:val="20"/>
        </w:rPr>
        <w:tab/>
        <w:t>Bornes</w:t>
      </w:r>
    </w:p>
    <w:p w14:paraId="6AF69124"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2.</w:t>
      </w:r>
      <w:r w:rsidRPr="0078475B">
        <w:rPr>
          <w:rFonts w:ascii="Plus Jakarta Sans" w:hAnsi="Plus Jakarta Sans"/>
          <w:color w:val="000000"/>
          <w:sz w:val="20"/>
          <w:szCs w:val="20"/>
        </w:rPr>
        <w:tab/>
        <w:t>HMI</w:t>
      </w:r>
    </w:p>
    <w:p w14:paraId="102B0672"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3.</w:t>
      </w:r>
      <w:r w:rsidRPr="0078475B">
        <w:rPr>
          <w:rFonts w:ascii="Plus Jakarta Sans" w:hAnsi="Plus Jakarta Sans"/>
          <w:color w:val="000000"/>
          <w:sz w:val="20"/>
          <w:szCs w:val="20"/>
        </w:rPr>
        <w:tab/>
        <w:t>Port Ethernet</w:t>
      </w:r>
    </w:p>
    <w:p w14:paraId="5DA2FA56"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4.</w:t>
      </w:r>
      <w:r w:rsidRPr="0078475B">
        <w:rPr>
          <w:rFonts w:ascii="Plus Jakarta Sans" w:hAnsi="Plus Jakarta Sans"/>
          <w:color w:val="000000"/>
          <w:sz w:val="20"/>
          <w:szCs w:val="20"/>
        </w:rPr>
        <w:tab/>
        <w:t>Application mobile</w:t>
      </w:r>
    </w:p>
    <w:p w14:paraId="506A948D" w14:textId="6FEEF3B4"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Le VFD doit permettre à l'utilisateur de définir les commandes et les références de vitesse locales et distantes, avec une fonction logique désactivant la commande à distance lorsque la commande locale est activée.</w:t>
      </w:r>
    </w:p>
    <w:p w14:paraId="23D1C0DD"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C. Le VFD doit offrir une fonction de consigne comprenant :</w:t>
      </w:r>
    </w:p>
    <w:p w14:paraId="40E09761"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1.</w:t>
      </w:r>
      <w:r w:rsidRPr="0078475B">
        <w:rPr>
          <w:rFonts w:ascii="Plus Jakarta Sans" w:hAnsi="Plus Jakarta Sans"/>
          <w:color w:val="000000"/>
          <w:sz w:val="20"/>
          <w:szCs w:val="20"/>
        </w:rPr>
        <w:tab/>
        <w:t>Fonction de sortie maximale</w:t>
      </w:r>
    </w:p>
    <w:p w14:paraId="031C4DD1"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2.</w:t>
      </w:r>
      <w:r w:rsidRPr="0078475B">
        <w:rPr>
          <w:rFonts w:ascii="Plus Jakarta Sans" w:hAnsi="Plus Jakarta Sans"/>
          <w:color w:val="000000"/>
          <w:sz w:val="20"/>
          <w:szCs w:val="20"/>
        </w:rPr>
        <w:tab/>
        <w:t>Fonctions de mise à l’échelle et de limitation basse et haute de la consigne</w:t>
      </w:r>
    </w:p>
    <w:p w14:paraId="4B84EB9E" w14:textId="71444527" w:rsidR="00561580" w:rsidRPr="0078475B" w:rsidRDefault="0085762E" w:rsidP="0078475B">
      <w:pPr>
        <w:spacing w:line="360" w:lineRule="auto"/>
        <w:ind w:left="720"/>
        <w:rPr>
          <w:rFonts w:ascii="Plus Jakarta Sans" w:hAnsi="Plus Jakarta Sans"/>
          <w:color w:val="000000"/>
          <w:sz w:val="20"/>
          <w:szCs w:val="20"/>
        </w:rPr>
      </w:pPr>
      <w:r>
        <w:rPr>
          <w:rFonts w:ascii="Plus Jakarta Sans" w:hAnsi="Plus Jakarta Sans"/>
          <w:color w:val="000000"/>
          <w:sz w:val="20"/>
          <w:szCs w:val="20"/>
        </w:rPr>
        <w:t>3.</w:t>
      </w:r>
      <w:r>
        <w:rPr>
          <w:rFonts w:ascii="Plus Jakarta Sans" w:hAnsi="Plus Jakarta Sans"/>
          <w:color w:val="000000"/>
          <w:sz w:val="20"/>
          <w:szCs w:val="20"/>
        </w:rPr>
        <w:tab/>
        <w:t>Fonction de références de vitesses présélectionnées</w:t>
      </w:r>
    </w:p>
    <w:p w14:paraId="6403FC4E" w14:textId="74E8F44E"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D. Le VFD doit comporter quatre rampes d'accélération et quatre rampes de décélération, dont la durée est réglable, permettant :</w:t>
      </w:r>
    </w:p>
    <w:p w14:paraId="07F326E3" w14:textId="1B62DE04" w:rsidR="00561580" w:rsidRPr="0085762E" w:rsidRDefault="00000000" w:rsidP="0078475B">
      <w:pPr>
        <w:spacing w:line="360" w:lineRule="auto"/>
        <w:ind w:left="720"/>
        <w:rPr>
          <w:rFonts w:ascii="Plus Jakarta Sans" w:hAnsi="Plus Jakarta Sans"/>
          <w:sz w:val="20"/>
          <w:szCs w:val="20"/>
        </w:rPr>
      </w:pPr>
      <w:r w:rsidRPr="0078475B">
        <w:rPr>
          <w:rFonts w:ascii="Plus Jakarta Sans" w:hAnsi="Plus Jakarta Sans"/>
          <w:color w:val="000000"/>
          <w:sz w:val="20"/>
          <w:szCs w:val="20"/>
        </w:rPr>
        <w:t>1.</w:t>
      </w:r>
      <w:r w:rsidRPr="0078475B">
        <w:rPr>
          <w:rFonts w:ascii="Plus Jakarta Sans" w:hAnsi="Plus Jakarta Sans"/>
          <w:color w:val="000000"/>
          <w:sz w:val="20"/>
          <w:szCs w:val="20"/>
        </w:rPr>
        <w:tab/>
        <w:t>Une rampe linéaire unique d'accélération et de décélération</w:t>
      </w:r>
    </w:p>
    <w:p w14:paraId="1627912F" w14:textId="7777777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sz w:val="20"/>
          <w:szCs w:val="20"/>
        </w:rPr>
        <w:t>2.</w:t>
      </w:r>
      <w:r w:rsidRPr="0078475B">
        <w:rPr>
          <w:rFonts w:ascii="Plus Jakarta Sans" w:hAnsi="Plus Jakarta Sans"/>
          <w:sz w:val="20"/>
          <w:szCs w:val="20"/>
        </w:rPr>
        <w:tab/>
        <w:t>La sélection des rampes</w:t>
      </w:r>
    </w:p>
    <w:p w14:paraId="06F96CD4" w14:textId="712259D8"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3.</w:t>
      </w:r>
      <w:r w:rsidRPr="0078475B">
        <w:rPr>
          <w:rFonts w:ascii="Plus Jakarta Sans" w:hAnsi="Plus Jakarta Sans"/>
          <w:color w:val="000000"/>
          <w:sz w:val="20"/>
          <w:szCs w:val="20"/>
        </w:rPr>
        <w:tab/>
        <w:t>L'adaptation de la rampe de décélération</w:t>
      </w:r>
    </w:p>
    <w:p w14:paraId="29D0AFB3" w14:textId="4BA1D20F" w:rsidR="00561580" w:rsidRPr="0078475B" w:rsidRDefault="00213AC3"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4.</w:t>
      </w:r>
      <w:r w:rsidRPr="0078475B">
        <w:rPr>
          <w:rFonts w:ascii="Plus Jakarta Sans" w:hAnsi="Plus Jakarta Sans"/>
          <w:color w:val="000000"/>
          <w:sz w:val="20"/>
          <w:szCs w:val="20"/>
        </w:rPr>
        <w:tab/>
        <w:t>Des rampes multisegments, jusqu'à quatre rampes d'accélération et quatre rampes de décélération</w:t>
      </w:r>
      <w:r w:rsidRPr="0078475B">
        <w:rPr>
          <w:rFonts w:ascii="Plus Jakarta Sans" w:hAnsi="Plus Jakarta Sans"/>
          <w:color w:val="000000"/>
          <w:sz w:val="20"/>
          <w:szCs w:val="20"/>
        </w:rPr>
        <w:tab/>
      </w:r>
    </w:p>
    <w:p w14:paraId="45F11FB9"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E. Le VFD doit offrir une fonction d'arrêt comprenant :</w:t>
      </w:r>
    </w:p>
    <w:p w14:paraId="0D092516" w14:textId="0A04186E" w:rsidR="00561580" w:rsidRPr="0078475B" w:rsidRDefault="0085762E" w:rsidP="0078475B">
      <w:pPr>
        <w:spacing w:line="360" w:lineRule="auto"/>
        <w:ind w:left="720"/>
        <w:rPr>
          <w:rFonts w:ascii="Plus Jakarta Sans" w:hAnsi="Plus Jakarta Sans"/>
          <w:color w:val="000000"/>
          <w:sz w:val="20"/>
          <w:szCs w:val="20"/>
        </w:rPr>
      </w:pPr>
      <w:r>
        <w:rPr>
          <w:rFonts w:ascii="Plus Jakarta Sans" w:hAnsi="Plus Jakarta Sans"/>
          <w:color w:val="000000"/>
          <w:sz w:val="20"/>
          <w:szCs w:val="20"/>
        </w:rPr>
        <w:t>1.</w:t>
      </w:r>
      <w:r>
        <w:rPr>
          <w:rFonts w:ascii="Plus Jakarta Sans" w:hAnsi="Plus Jakarta Sans"/>
          <w:color w:val="000000"/>
          <w:sz w:val="20"/>
          <w:szCs w:val="20"/>
        </w:rPr>
        <w:tab/>
        <w:t>Arrêt en roue libre</w:t>
      </w:r>
    </w:p>
    <w:p w14:paraId="6A32DBA3" w14:textId="12561FBF" w:rsidR="00561580" w:rsidRPr="0078475B" w:rsidRDefault="0085762E" w:rsidP="0078475B">
      <w:pPr>
        <w:spacing w:line="360" w:lineRule="auto"/>
        <w:ind w:left="720"/>
        <w:rPr>
          <w:rFonts w:ascii="Plus Jakarta Sans" w:hAnsi="Plus Jakarta Sans"/>
          <w:color w:val="000000"/>
          <w:sz w:val="20"/>
          <w:szCs w:val="20"/>
        </w:rPr>
      </w:pPr>
      <w:r>
        <w:rPr>
          <w:rFonts w:ascii="Plus Jakarta Sans" w:hAnsi="Plus Jakarta Sans"/>
          <w:color w:val="000000"/>
          <w:sz w:val="20"/>
          <w:szCs w:val="20"/>
        </w:rPr>
        <w:t>2.</w:t>
      </w:r>
      <w:r>
        <w:rPr>
          <w:rFonts w:ascii="Plus Jakarta Sans" w:hAnsi="Plus Jakarta Sans"/>
          <w:color w:val="000000"/>
          <w:sz w:val="20"/>
          <w:szCs w:val="20"/>
        </w:rPr>
        <w:tab/>
        <w:t>Arrêt sur rampe de décélération avec adaptation</w:t>
      </w:r>
      <w:r>
        <w:rPr>
          <w:rFonts w:ascii="Plus Jakarta Sans" w:hAnsi="Plus Jakarta Sans"/>
          <w:color w:val="000000"/>
          <w:sz w:val="20"/>
          <w:szCs w:val="20"/>
        </w:rPr>
        <w:tab/>
      </w:r>
    </w:p>
    <w:p w14:paraId="3C20FEAA" w14:textId="77777777" w:rsidR="00561580" w:rsidRPr="0078475B" w:rsidRDefault="00000000"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F. Le VFD doit comporter une fonction sélectionnable de redémarrage automatique qui redémarre le moteur à partir de la vitesse nulle après un défaut ou une perte d'alimentation, à condition que les exigences de sécurité soient respectées et qu'aucune condition de défaut ne subsiste.</w:t>
      </w:r>
    </w:p>
    <w:p w14:paraId="3D2B249B" w14:textId="364E576D"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G. Le VFD doit détecter la vitesse et le sens de rotation d'un moteur déjà en mouvement et en reprendre progressivement la commande au moyen d'une fonction de reprise au vol.</w:t>
      </w:r>
    </w:p>
    <w:p w14:paraId="3B2827C6" w14:textId="28C026C8"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H. Le VFD doit permettre à l'utilisateur de définir les limites requises par le mode de commande, notamment :</w:t>
      </w:r>
    </w:p>
    <w:p w14:paraId="0E8AAC20" w14:textId="6E9C82D2"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Limites de couple du moteur</w:t>
      </w:r>
    </w:p>
    <w:p w14:paraId="78FA0F41" w14:textId="0553AD07"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Limites de vitesse du moteur</w:t>
      </w:r>
    </w:p>
    <w:p w14:paraId="2C282354" w14:textId="76218708"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3. </w:t>
      </w:r>
      <w:r w:rsidRPr="0078475B">
        <w:rPr>
          <w:rFonts w:ascii="Plus Jakarta Sans" w:hAnsi="Plus Jakarta Sans"/>
          <w:color w:val="000000"/>
          <w:sz w:val="20"/>
          <w:szCs w:val="20"/>
        </w:rPr>
        <w:tab/>
        <w:t>Limites de courant du moteur</w:t>
      </w:r>
    </w:p>
    <w:p w14:paraId="1AE02AF4" w14:textId="7F464586"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lastRenderedPageBreak/>
        <w:t xml:space="preserve">4. </w:t>
      </w:r>
      <w:r w:rsidRPr="0078475B">
        <w:rPr>
          <w:rFonts w:ascii="Plus Jakarta Sans" w:hAnsi="Plus Jakarta Sans"/>
          <w:color w:val="000000"/>
          <w:sz w:val="20"/>
          <w:szCs w:val="20"/>
        </w:rPr>
        <w:tab/>
        <w:t>Limites de puissance du moteur</w:t>
      </w:r>
    </w:p>
    <w:p w14:paraId="24DC9986" w14:textId="27FAAFDA"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I. Le VFD doit offrir à l'utilisateur une fonction réglable de redémarrage automatique.</w:t>
      </w:r>
    </w:p>
    <w:p w14:paraId="3DFA7D13" w14:textId="423C9B62"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J. Le VFD doit intégrer une fonction de prémagnétisation afin de fournir le couple de démarrage le plus élevé possible.</w:t>
      </w:r>
    </w:p>
    <w:p w14:paraId="4D9D221C" w14:textId="71258573"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K. Une fonction réglable de gestion du sens de rotation doit permettre à l'utilisateur de définir le comportement du VFD lorsque des commandes avant et arrière sont appliquées simultanément.</w:t>
      </w:r>
    </w:p>
    <w:p w14:paraId="20326EB4" w14:textId="367C6C2C"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L. Condition de vitesse nulle : le VFD doit permettre à l'utilisateur de configurer son comportement lorsque la consigne de vitesse devient inférieure à une vitesse minimale définie par l'utilisateur.</w:t>
      </w:r>
    </w:p>
    <w:p w14:paraId="49CDC3C2" w14:textId="07841676"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M. Afin de maximiser le couple produit pour un courant donné, le VFD doit optimiser l'utilisation de l'énergie au moyen d'une technologie telle que le couple maximal par ampère (MTPA).</w:t>
      </w:r>
    </w:p>
    <w:p w14:paraId="75DBD78B" w14:textId="4F6321F5"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N. Un régulateur PID doit être intégré au VFD. Il doit donner accès aux éléments suivants :</w:t>
      </w:r>
    </w:p>
    <w:p w14:paraId="0DE8E92F" w14:textId="25699BB1" w:rsidR="00561580" w:rsidRPr="0078475B" w:rsidRDefault="00000000" w:rsidP="0078475B">
      <w:pPr>
        <w:spacing w:line="360" w:lineRule="auto"/>
        <w:ind w:firstLine="720"/>
        <w:rPr>
          <w:rFonts w:ascii="Plus Jakarta Sans" w:hAnsi="Plus Jakarta Sans"/>
          <w:color w:val="000000"/>
          <w:sz w:val="20"/>
          <w:szCs w:val="20"/>
        </w:rPr>
      </w:pPr>
      <w:r w:rsidRPr="0078475B">
        <w:rPr>
          <w:rFonts w:ascii="Plus Jakarta Sans" w:hAnsi="Plus Jakarta Sans"/>
          <w:color w:val="000000"/>
          <w:sz w:val="20"/>
          <w:szCs w:val="20"/>
        </w:rPr>
        <w:t xml:space="preserve">1. </w:t>
      </w:r>
      <w:r w:rsidRPr="0078475B">
        <w:rPr>
          <w:rFonts w:ascii="Plus Jakarta Sans" w:hAnsi="Plus Jakarta Sans"/>
          <w:color w:val="000000"/>
          <w:sz w:val="20"/>
          <w:szCs w:val="20"/>
        </w:rPr>
        <w:tab/>
        <w:t>Définition et mise à l’échelle de la consigne de procédé et du retour de procédé,</w:t>
      </w:r>
    </w:p>
    <w:p w14:paraId="3B4662F3" w14:textId="4BC077D9"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2. </w:t>
      </w:r>
      <w:r w:rsidRPr="0078475B">
        <w:rPr>
          <w:rFonts w:ascii="Plus Jakarta Sans" w:hAnsi="Plus Jakarta Sans"/>
          <w:color w:val="000000"/>
          <w:sz w:val="20"/>
          <w:szCs w:val="20"/>
        </w:rPr>
        <w:tab/>
        <w:t>Paramètres P, I et D,</w:t>
      </w:r>
      <w:r w:rsidRPr="0078475B">
        <w:rPr>
          <w:rFonts w:ascii="Plus Jakarta Sans" w:hAnsi="Plus Jakarta Sans"/>
          <w:color w:val="000000"/>
          <w:sz w:val="20"/>
          <w:szCs w:val="20"/>
        </w:rPr>
        <w:br/>
        <w:t xml:space="preserve">3. </w:t>
      </w:r>
      <w:r w:rsidRPr="0078475B">
        <w:rPr>
          <w:rFonts w:ascii="Plus Jakarta Sans" w:hAnsi="Plus Jakarta Sans"/>
          <w:color w:val="000000"/>
          <w:sz w:val="20"/>
          <w:szCs w:val="20"/>
        </w:rPr>
        <w:tab/>
        <w:t>Sélection du mode de fonctionnement à action directe ou inverse,</w:t>
      </w:r>
    </w:p>
    <w:p w14:paraId="164EEAEF" w14:textId="31C28E0F"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4. </w:t>
      </w:r>
      <w:r w:rsidRPr="0078475B">
        <w:rPr>
          <w:rFonts w:ascii="Plus Jakarta Sans" w:hAnsi="Plus Jakarta Sans"/>
          <w:color w:val="000000"/>
          <w:sz w:val="20"/>
          <w:szCs w:val="20"/>
        </w:rPr>
        <w:tab/>
        <w:t>Valeur de la bande morte,</w:t>
      </w:r>
    </w:p>
    <w:p w14:paraId="6C978074" w14:textId="0FD0A134" w:rsidR="00561580" w:rsidRPr="0078475B" w:rsidRDefault="00000000" w:rsidP="0078475B">
      <w:pPr>
        <w:spacing w:line="360" w:lineRule="auto"/>
        <w:ind w:firstLine="720"/>
        <w:rPr>
          <w:rFonts w:ascii="Plus Jakarta Sans" w:hAnsi="Plus Jakarta Sans"/>
          <w:color w:val="000000"/>
          <w:sz w:val="20"/>
          <w:szCs w:val="20"/>
        </w:rPr>
      </w:pPr>
      <w:r w:rsidRPr="0078475B">
        <w:rPr>
          <w:rFonts w:ascii="Plus Jakarta Sans" w:hAnsi="Plus Jakarta Sans"/>
          <w:color w:val="000000"/>
          <w:sz w:val="20"/>
          <w:szCs w:val="20"/>
        </w:rPr>
        <w:t xml:space="preserve">5. </w:t>
      </w:r>
      <w:r w:rsidRPr="0078475B">
        <w:rPr>
          <w:rFonts w:ascii="Plus Jakarta Sans" w:hAnsi="Plus Jakarta Sans"/>
          <w:color w:val="000000"/>
          <w:sz w:val="20"/>
          <w:szCs w:val="20"/>
        </w:rPr>
        <w:tab/>
        <w:t>Paramètres de compensation,</w:t>
      </w:r>
    </w:p>
    <w:p w14:paraId="0B27D3BC" w14:textId="51C513DE"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6. </w:t>
      </w:r>
      <w:r w:rsidRPr="0078475B">
        <w:rPr>
          <w:rFonts w:ascii="Plus Jakarta Sans" w:hAnsi="Plus Jakarta Sans"/>
          <w:color w:val="000000"/>
          <w:sz w:val="20"/>
          <w:szCs w:val="20"/>
        </w:rPr>
        <w:tab/>
        <w:t>Fonction de veille et de réveil,</w:t>
      </w:r>
    </w:p>
    <w:p w14:paraId="11F294DD" w14:textId="10980C89" w:rsidR="00561580" w:rsidRPr="0078475B" w:rsidRDefault="00000000" w:rsidP="0078475B">
      <w:pPr>
        <w:spacing w:line="360" w:lineRule="auto"/>
        <w:ind w:left="720"/>
        <w:rPr>
          <w:rFonts w:ascii="Plus Jakarta Sans" w:hAnsi="Plus Jakarta Sans"/>
          <w:color w:val="000000"/>
          <w:sz w:val="20"/>
          <w:szCs w:val="20"/>
        </w:rPr>
      </w:pPr>
      <w:r w:rsidRPr="0078475B">
        <w:rPr>
          <w:rFonts w:ascii="Plus Jakarta Sans" w:hAnsi="Plus Jakarta Sans"/>
          <w:color w:val="000000"/>
          <w:sz w:val="20"/>
          <w:szCs w:val="20"/>
        </w:rPr>
        <w:t xml:space="preserve">7. </w:t>
      </w:r>
      <w:r w:rsidRPr="0078475B">
        <w:rPr>
          <w:rFonts w:ascii="Plus Jakarta Sans" w:hAnsi="Plus Jakarta Sans"/>
          <w:color w:val="000000"/>
          <w:sz w:val="20"/>
          <w:szCs w:val="20"/>
        </w:rPr>
        <w:tab/>
        <w:t>Possibilité de contourner la fonction PID et de forcer la sortie du VFD.</w:t>
      </w:r>
    </w:p>
    <w:p w14:paraId="2245934A" w14:textId="78DD7EDD"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O. Pour les opérations de maintenance et de mise en service, le VFD doit pouvoir être placé en mode Hors service (OOS), ce qui désactive les alarmes fréquemment déclenchées.</w:t>
      </w:r>
    </w:p>
    <w:p w14:paraId="62304FC7" w14:textId="41761ED4" w:rsidR="00561580"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P. Un mode incendie d'urgence (EFM) doit être intégré au VFD afin de remplacer les réglages de commande habituels par un mode de fonctionnement prédéfini par l'utilisateur.</w:t>
      </w:r>
    </w:p>
    <w:p w14:paraId="7B9976B5" w14:textId="17166796" w:rsidR="00BB55DF"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Q. Une fonction de verrouillage ou de désactivation du moteur doit être configurable par l'utilisateur afin de désactiver la sortie de puissance du VFD.</w:t>
      </w:r>
    </w:p>
    <w:p w14:paraId="47D9995A" w14:textId="333DB449" w:rsidR="005A5152"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R. Pour la commande de registres dans les applications CVCA, le VFD doit intégrer une fonction permettant de commander les ventilateurs en fonction de la position du registre d'air. Cette fonction doit comprendre des protections et des alarmes en cas de dysfonctionnement du registre.</w:t>
      </w:r>
    </w:p>
    <w:p w14:paraId="78A83DC1" w14:textId="0CB8B7A3" w:rsidR="00EA0461" w:rsidRPr="0078475B" w:rsidRDefault="0085762E" w:rsidP="0078475B">
      <w:pPr>
        <w:spacing w:line="360" w:lineRule="auto"/>
        <w:rPr>
          <w:rFonts w:ascii="Plus Jakarta Sans" w:hAnsi="Plus Jakarta Sans"/>
          <w:color w:val="000000"/>
          <w:sz w:val="20"/>
          <w:szCs w:val="20"/>
        </w:rPr>
      </w:pPr>
      <w:r>
        <w:rPr>
          <w:rFonts w:ascii="Plus Jakarta Sans" w:hAnsi="Plus Jakarta Sans"/>
          <w:color w:val="000000"/>
          <w:sz w:val="20"/>
          <w:szCs w:val="20"/>
        </w:rPr>
        <w:t>S. Le VFD doit prendre en charge des alarmes externes définies par l'utilisateur.</w:t>
      </w:r>
    </w:p>
    <w:p w14:paraId="1000BB24" w14:textId="2CE61DEE" w:rsidR="00637D01" w:rsidRDefault="00637D01" w:rsidP="00190D0E">
      <w:pPr>
        <w:pStyle w:val="Heading4"/>
      </w:pPr>
      <w:bookmarkStart w:id="25" w:name="_Toc235607259"/>
      <w:r>
        <w:t xml:space="preserve">2.3.3 Maintenance </w:t>
      </w:r>
      <w:bookmarkEnd w:id="25"/>
    </w:p>
    <w:p w14:paraId="07182109" w14:textId="77777777" w:rsidR="00637D01" w:rsidRPr="0078475B" w:rsidRDefault="00637D01"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A. Le VFD doit pouvoir enregistrer des événements horodatés.</w:t>
      </w:r>
    </w:p>
    <w:p w14:paraId="43B7F849" w14:textId="77777777" w:rsidR="00637D01" w:rsidRPr="0078475B" w:rsidRDefault="00637D01"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B. Le VFD doit pouvoir exporter un fichier contenant des événements horodatés.</w:t>
      </w:r>
    </w:p>
    <w:p w14:paraId="03BCF432" w14:textId="77777777" w:rsidR="00637D01" w:rsidRPr="0078475B" w:rsidRDefault="00637D01" w:rsidP="0078475B">
      <w:pPr>
        <w:spacing w:line="360" w:lineRule="auto"/>
        <w:rPr>
          <w:rFonts w:ascii="Plus Jakarta Sans" w:hAnsi="Plus Jakarta Sans"/>
          <w:color w:val="000000"/>
          <w:sz w:val="20"/>
          <w:szCs w:val="20"/>
        </w:rPr>
      </w:pPr>
      <w:r w:rsidRPr="0078475B">
        <w:rPr>
          <w:rFonts w:ascii="Plus Jakarta Sans" w:hAnsi="Plus Jakarta Sans"/>
          <w:color w:val="000000"/>
          <w:sz w:val="20"/>
          <w:szCs w:val="20"/>
        </w:rPr>
        <w:t>C. Les ventilateurs de refroidissement doivent pouvoir être remplacés par l'utilisateur lorsqu'ils atteignent leur fin de vie statistique.</w:t>
      </w:r>
    </w:p>
    <w:p w14:paraId="4310E4A8" w14:textId="77777777" w:rsidR="000B0B42" w:rsidRPr="000B0B42" w:rsidRDefault="000B0B42" w:rsidP="00190D0E">
      <w:pPr>
        <w:pStyle w:val="Heading3"/>
      </w:pPr>
      <w:bookmarkStart w:id="26" w:name="_Toc235607260"/>
      <w:r w:rsidRPr="000B0B42">
        <w:lastRenderedPageBreak/>
        <w:t>2.4 Équipements non requis</w:t>
      </w:r>
      <w:bookmarkEnd w:id="26"/>
    </w:p>
    <w:p w14:paraId="581ABE76" w14:textId="4936E492"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Les équipements suivants ne doivent</w:t>
      </w:r>
      <w:r w:rsidR="001C70A8">
        <w:rPr>
          <w:rFonts w:ascii="Plus Jakarta Sans" w:hAnsi="Plus Jakarta Sans"/>
          <w:color w:val="000000"/>
          <w:sz w:val="20"/>
          <w:szCs w:val="20"/>
        </w:rPr>
        <w:t xml:space="preserve"> pas</w:t>
      </w:r>
      <w:r w:rsidRPr="00485125">
        <w:rPr>
          <w:rFonts w:ascii="Plus Jakarta Sans" w:hAnsi="Plus Jakarta Sans"/>
          <w:color w:val="000000"/>
          <w:sz w:val="20"/>
          <w:szCs w:val="20"/>
        </w:rPr>
        <w:t xml:space="preserve"> être requis pour satisfaire à aucune exigence de la présente spécification et ne doivent</w:t>
      </w:r>
      <w:r w:rsidR="001C70A8">
        <w:rPr>
          <w:rFonts w:ascii="Plus Jakarta Sans" w:hAnsi="Plus Jakarta Sans"/>
          <w:color w:val="000000"/>
          <w:sz w:val="20"/>
          <w:szCs w:val="20"/>
        </w:rPr>
        <w:t xml:space="preserve"> </w:t>
      </w:r>
      <w:r w:rsidRPr="00485125">
        <w:rPr>
          <w:rFonts w:ascii="Plus Jakarta Sans" w:hAnsi="Plus Jakarta Sans"/>
          <w:color w:val="000000"/>
          <w:sz w:val="20"/>
          <w:szCs w:val="20"/>
        </w:rPr>
        <w:t>pas être fournis :</w:t>
      </w:r>
    </w:p>
    <w:p w14:paraId="1509924E" w14:textId="664EE218"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A. Réactances de ligne d'entrée et inductances de bus CC pour l'atténuation des harmoniques</w:t>
      </w:r>
    </w:p>
    <w:p w14:paraId="2B3E8138" w14:textId="1482A591"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B. Filtres harmoniques passifs ou actifs, y compris les configurations à 12 ou 18 impulsions</w:t>
      </w:r>
    </w:p>
    <w:p w14:paraId="17F014BE" w14:textId="3CCBA726"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C. Filtres dv/dt</w:t>
      </w:r>
    </w:p>
    <w:p w14:paraId="705876DE" w14:textId="623C1806"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D. Filtres sinusoïdaux de sortie</w:t>
      </w:r>
    </w:p>
    <w:p w14:paraId="74DFC3F5" w14:textId="62A69023"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E. Bagues de mise à la terre de l’arbre moteur destinées à limiter les courants de palier induits par le VFD</w:t>
      </w:r>
    </w:p>
    <w:p w14:paraId="29CF2BCD" w14:textId="77777777" w:rsidR="000B0B42" w:rsidRPr="000B0B42" w:rsidRDefault="000B0B42" w:rsidP="000B0B42">
      <w:pPr>
        <w:pStyle w:val="Heading2"/>
      </w:pPr>
      <w:bookmarkStart w:id="27" w:name="_Toc235607261"/>
      <w:r w:rsidRPr="000B0B42">
        <w:t>PARTIE 3 – EXÉCUTION</w:t>
      </w:r>
      <w:bookmarkEnd w:id="27"/>
    </w:p>
    <w:p w14:paraId="0BD02E9E" w14:textId="77777777" w:rsidR="000B0B42" w:rsidRPr="000B0B42" w:rsidRDefault="000B0B42" w:rsidP="00190D0E">
      <w:pPr>
        <w:pStyle w:val="Heading3"/>
      </w:pPr>
      <w:bookmarkStart w:id="28" w:name="_Toc235607262"/>
      <w:r w:rsidRPr="000B0B42">
        <w:t>3.1 Installation</w:t>
      </w:r>
      <w:bookmarkEnd w:id="28"/>
    </w:p>
    <w:p w14:paraId="4C992064"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A. Le VFD doit être installé conformément au manuel d'installation du fabricant et à tous les</w:t>
      </w:r>
    </w:p>
    <w:p w14:paraId="297C70A0" w14:textId="77777777" w:rsidR="000B0B42" w:rsidRPr="00485125" w:rsidRDefault="000B0B42" w:rsidP="00485125">
      <w:pPr>
        <w:spacing w:line="360" w:lineRule="auto"/>
        <w:rPr>
          <w:rFonts w:ascii="Plus Jakarta Sans" w:hAnsi="Plus Jakarta Sans"/>
          <w:color w:val="000000"/>
          <w:sz w:val="20"/>
          <w:szCs w:val="20"/>
        </w:rPr>
      </w:pPr>
      <w:proofErr w:type="gramStart"/>
      <w:r w:rsidRPr="00485125">
        <w:rPr>
          <w:rFonts w:ascii="Plus Jakarta Sans" w:hAnsi="Plus Jakarta Sans"/>
          <w:color w:val="000000"/>
          <w:sz w:val="20"/>
          <w:szCs w:val="20"/>
        </w:rPr>
        <w:t>codes</w:t>
      </w:r>
      <w:proofErr w:type="gramEnd"/>
      <w:r w:rsidRPr="00485125">
        <w:rPr>
          <w:rFonts w:ascii="Plus Jakarta Sans" w:hAnsi="Plus Jakarta Sans"/>
          <w:color w:val="000000"/>
          <w:sz w:val="20"/>
          <w:szCs w:val="20"/>
        </w:rPr>
        <w:t xml:space="preserve"> électriques applicables.</w:t>
      </w:r>
    </w:p>
    <w:p w14:paraId="25F96ADD"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B. Les dégagements autour du VFD doivent respecter les exigences du fabricant afin d'assurer la circulation de l'air de refroidissement.</w:t>
      </w:r>
    </w:p>
    <w:p w14:paraId="6C8577B9"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C. Les bornes de puissance et de commande doivent être serrées aux couples prescrits par le fabricant.</w:t>
      </w:r>
    </w:p>
    <w:p w14:paraId="0ADDD3A7" w14:textId="39BA041C"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D. Le câblage de puissance et le câblage de commande doivent être séparés conformément aux directives CEM</w:t>
      </w:r>
      <w:r w:rsidR="00A74CB0">
        <w:rPr>
          <w:rFonts w:ascii="Plus Jakarta Sans" w:hAnsi="Plus Jakarta Sans"/>
          <w:color w:val="000000"/>
          <w:sz w:val="20"/>
          <w:szCs w:val="20"/>
        </w:rPr>
        <w:t xml:space="preserve"> </w:t>
      </w:r>
      <w:r w:rsidRPr="00485125">
        <w:rPr>
          <w:rFonts w:ascii="Plus Jakarta Sans" w:hAnsi="Plus Jakarta Sans"/>
          <w:color w:val="000000"/>
          <w:sz w:val="20"/>
          <w:szCs w:val="20"/>
        </w:rPr>
        <w:t>d'installation du fabricant.</w:t>
      </w:r>
    </w:p>
    <w:p w14:paraId="7B0D577A" w14:textId="77777777" w:rsidR="000B0B42" w:rsidRPr="000B0B42" w:rsidRDefault="000B0B42" w:rsidP="00190D0E">
      <w:pPr>
        <w:pStyle w:val="Heading3"/>
      </w:pPr>
      <w:bookmarkStart w:id="29" w:name="_Toc235607263"/>
      <w:r w:rsidRPr="000B0B42">
        <w:t>3.2 Démarrage et mise en service</w:t>
      </w:r>
      <w:bookmarkEnd w:id="29"/>
    </w:p>
    <w:p w14:paraId="49E1CACC"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A. Le démarrage doit être exécuté ou supervisé par du personnel formé et certifié par le fabricant.</w:t>
      </w:r>
    </w:p>
    <w:p w14:paraId="3EB06432" w14:textId="0F704928"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B. Le démarrage doit comprendre au minimum : la vérification de la tension d'entrée et de l'ordre des phases; la saisie des données de</w:t>
      </w:r>
      <w:r w:rsidR="00A74CB0">
        <w:rPr>
          <w:rFonts w:ascii="Plus Jakarta Sans" w:hAnsi="Plus Jakarta Sans"/>
          <w:color w:val="000000"/>
          <w:sz w:val="20"/>
          <w:szCs w:val="20"/>
        </w:rPr>
        <w:t xml:space="preserve"> </w:t>
      </w:r>
      <w:r w:rsidRPr="00485125">
        <w:rPr>
          <w:rFonts w:ascii="Plus Jakarta Sans" w:hAnsi="Plus Jakarta Sans"/>
          <w:color w:val="000000"/>
          <w:sz w:val="20"/>
          <w:szCs w:val="20"/>
        </w:rPr>
        <w:t>la plaque signalétique du moteur; l'exécution de la fonction d'autoréglage du moteur; la vérification des réglages de protection; et</w:t>
      </w:r>
      <w:r w:rsidR="00A74CB0">
        <w:rPr>
          <w:rFonts w:ascii="Plus Jakarta Sans" w:hAnsi="Plus Jakarta Sans"/>
          <w:color w:val="000000"/>
          <w:sz w:val="20"/>
          <w:szCs w:val="20"/>
        </w:rPr>
        <w:t xml:space="preserve"> </w:t>
      </w:r>
      <w:r w:rsidRPr="00485125">
        <w:rPr>
          <w:rFonts w:ascii="Plus Jakarta Sans" w:hAnsi="Plus Jakarta Sans"/>
          <w:color w:val="000000"/>
          <w:sz w:val="20"/>
          <w:szCs w:val="20"/>
        </w:rPr>
        <w:t>la confirmation du sens de rotation correct du moteur.</w:t>
      </w:r>
    </w:p>
    <w:p w14:paraId="1000A989"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C. Un rapport de démarrage écrit doit être fourni pour chaque VFD, y compris le fichier final des paramètres.</w:t>
      </w:r>
    </w:p>
    <w:p w14:paraId="0474984F" w14:textId="77777777" w:rsidR="000B0B42" w:rsidRPr="000B0B42" w:rsidRDefault="000B0B42" w:rsidP="00190D0E">
      <w:pPr>
        <w:pStyle w:val="Heading3"/>
      </w:pPr>
      <w:bookmarkStart w:id="30" w:name="_Toc235607264"/>
      <w:r w:rsidRPr="000B0B42">
        <w:t>3.3 Contrôle qualité sur site</w:t>
      </w:r>
      <w:bookmarkEnd w:id="30"/>
    </w:p>
    <w:p w14:paraId="108E08EE" w14:textId="32C25FDE"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A. Le fonctionnement de chaque VFD doit être vérifié à partir de chacune des sources de commande spécifiées : bornes, HMI, Ethernet</w:t>
      </w:r>
      <w:r w:rsidR="00A74CB0">
        <w:rPr>
          <w:rFonts w:ascii="Plus Jakarta Sans" w:hAnsi="Plus Jakarta Sans"/>
          <w:color w:val="000000"/>
          <w:sz w:val="20"/>
          <w:szCs w:val="20"/>
        </w:rPr>
        <w:t xml:space="preserve"> </w:t>
      </w:r>
      <w:r w:rsidRPr="00485125">
        <w:rPr>
          <w:rFonts w:ascii="Plus Jakarta Sans" w:hAnsi="Plus Jakarta Sans"/>
          <w:color w:val="000000"/>
          <w:sz w:val="20"/>
          <w:szCs w:val="20"/>
        </w:rPr>
        <w:t>et application mobile.</w:t>
      </w:r>
    </w:p>
    <w:p w14:paraId="33F95F57"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B. Les fonctions de protection doivent être démontrées selon les exigences de l'ingénieur.</w:t>
      </w:r>
    </w:p>
    <w:p w14:paraId="00CB4E06" w14:textId="77777777" w:rsidR="000B0B42" w:rsidRPr="00485125" w:rsidRDefault="000B0B42" w:rsidP="00485125">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C. Le jeu de paramètres après mise en service doit être exporté et remis au propriétaire.</w:t>
      </w:r>
    </w:p>
    <w:p w14:paraId="127CDF40" w14:textId="77777777" w:rsidR="000B0B42" w:rsidRPr="000B0B42" w:rsidRDefault="000B0B42" w:rsidP="00190D0E">
      <w:pPr>
        <w:pStyle w:val="Heading3"/>
      </w:pPr>
      <w:bookmarkStart w:id="31" w:name="_Toc235607265"/>
      <w:r w:rsidRPr="000B0B42">
        <w:lastRenderedPageBreak/>
        <w:t>3.4 Formation</w:t>
      </w:r>
      <w:bookmarkEnd w:id="31"/>
    </w:p>
    <w:p w14:paraId="5B8D4E06" w14:textId="07768B83" w:rsidR="000B0B42" w:rsidRPr="00485125" w:rsidRDefault="000B0B42" w:rsidP="000B0B42">
      <w:pPr>
        <w:spacing w:line="360" w:lineRule="auto"/>
        <w:rPr>
          <w:rFonts w:ascii="Plus Jakarta Sans" w:hAnsi="Plus Jakarta Sans"/>
          <w:color w:val="000000"/>
          <w:sz w:val="20"/>
          <w:szCs w:val="20"/>
        </w:rPr>
      </w:pPr>
      <w:r w:rsidRPr="00485125">
        <w:rPr>
          <w:rFonts w:ascii="Plus Jakarta Sans" w:hAnsi="Plus Jakarta Sans"/>
          <w:color w:val="000000"/>
          <w:sz w:val="20"/>
          <w:szCs w:val="20"/>
        </w:rPr>
        <w:t>Le fabricant ou son représentant doit fournir deux heures de formation sur site ou à distance au</w:t>
      </w:r>
    </w:p>
    <w:p w14:paraId="64C1C996" w14:textId="0B653481" w:rsidR="000B0B42" w:rsidRPr="00485125" w:rsidRDefault="000B0B42" w:rsidP="000B0B42">
      <w:pPr>
        <w:spacing w:line="360" w:lineRule="auto"/>
        <w:rPr>
          <w:rFonts w:ascii="Plus Jakarta Sans" w:hAnsi="Plus Jakarta Sans"/>
          <w:color w:val="000000"/>
          <w:sz w:val="20"/>
          <w:szCs w:val="20"/>
        </w:rPr>
      </w:pPr>
      <w:proofErr w:type="gramStart"/>
      <w:r w:rsidRPr="00485125">
        <w:rPr>
          <w:rFonts w:ascii="Plus Jakarta Sans" w:hAnsi="Plus Jakarta Sans"/>
          <w:color w:val="000000"/>
          <w:sz w:val="20"/>
          <w:szCs w:val="20"/>
        </w:rPr>
        <w:t>personnel</w:t>
      </w:r>
      <w:proofErr w:type="gramEnd"/>
      <w:r w:rsidRPr="00485125">
        <w:rPr>
          <w:rFonts w:ascii="Plus Jakarta Sans" w:hAnsi="Plus Jakarta Sans"/>
          <w:color w:val="000000"/>
          <w:sz w:val="20"/>
          <w:szCs w:val="20"/>
        </w:rPr>
        <w:t xml:space="preserve"> du propriétaire. La formation doit couvrir l'utilisation de l'HMI et de l'application mobile, la consultation des défauts et</w:t>
      </w:r>
      <w:r w:rsidR="00A74CB0">
        <w:rPr>
          <w:rFonts w:ascii="Plus Jakarta Sans" w:hAnsi="Plus Jakarta Sans"/>
          <w:color w:val="000000"/>
          <w:sz w:val="20"/>
          <w:szCs w:val="20"/>
        </w:rPr>
        <w:t xml:space="preserve"> </w:t>
      </w:r>
      <w:r w:rsidRPr="00485125">
        <w:rPr>
          <w:rFonts w:ascii="Plus Jakarta Sans" w:hAnsi="Plus Jakarta Sans"/>
          <w:color w:val="000000"/>
          <w:sz w:val="20"/>
          <w:szCs w:val="20"/>
        </w:rPr>
        <w:t>la maintenance courante.</w:t>
      </w:r>
    </w:p>
    <w:p w14:paraId="795F5F53" w14:textId="77777777" w:rsidR="000B0B42" w:rsidRPr="000B0B42" w:rsidRDefault="000B0B42" w:rsidP="00190D0E">
      <w:pPr>
        <w:pStyle w:val="Heading3"/>
      </w:pPr>
      <w:bookmarkStart w:id="32" w:name="_Toc235607266"/>
      <w:r w:rsidRPr="000B0B42">
        <w:t>3.5 Pièces de rechange et soutien</w:t>
      </w:r>
      <w:bookmarkEnd w:id="32"/>
    </w:p>
    <w:p w14:paraId="5AD8D934" w14:textId="77777777" w:rsidR="000B0B42" w:rsidRPr="00402B99" w:rsidRDefault="000B0B42" w:rsidP="00402B99">
      <w:pPr>
        <w:spacing w:line="360" w:lineRule="auto"/>
        <w:rPr>
          <w:rFonts w:ascii="Plus Jakarta Sans" w:hAnsi="Plus Jakarta Sans"/>
          <w:color w:val="000000"/>
          <w:sz w:val="20"/>
          <w:szCs w:val="20"/>
        </w:rPr>
      </w:pPr>
      <w:r w:rsidRPr="00402B99">
        <w:rPr>
          <w:rFonts w:ascii="Plus Jakarta Sans" w:hAnsi="Plus Jakarta Sans"/>
          <w:color w:val="000000"/>
          <w:sz w:val="20"/>
          <w:szCs w:val="20"/>
        </w:rPr>
        <w:t>A. Des ventilateurs de refroidissement de remplacement doivent être offerts par le fabricant pendant toute la durée de vie utile du VFD.</w:t>
      </w:r>
    </w:p>
    <w:p w14:paraId="4C118904" w14:textId="77777777" w:rsidR="000B0B42" w:rsidRPr="00402B99" w:rsidRDefault="000B0B42" w:rsidP="00402B99">
      <w:pPr>
        <w:spacing w:line="360" w:lineRule="auto"/>
        <w:rPr>
          <w:rFonts w:ascii="Plus Jakarta Sans" w:hAnsi="Plus Jakarta Sans"/>
          <w:color w:val="000000"/>
          <w:sz w:val="20"/>
          <w:szCs w:val="20"/>
        </w:rPr>
      </w:pPr>
      <w:r w:rsidRPr="00402B99">
        <w:rPr>
          <w:rFonts w:ascii="Plus Jakarta Sans" w:hAnsi="Plus Jakarta Sans"/>
          <w:color w:val="000000"/>
          <w:sz w:val="20"/>
          <w:szCs w:val="20"/>
        </w:rPr>
        <w:t>B. Le fabricant doit fournir un soutien technique pour le VFD, y compris une assistance au diagnostic</w:t>
      </w:r>
    </w:p>
    <w:p w14:paraId="02B9E372" w14:textId="5E794BC1" w:rsidR="000B0B42" w:rsidRPr="00402B99" w:rsidRDefault="000B0B42" w:rsidP="00402B99">
      <w:pPr>
        <w:spacing w:line="360" w:lineRule="auto"/>
        <w:rPr>
          <w:rFonts w:ascii="Plus Jakarta Sans" w:hAnsi="Plus Jakarta Sans"/>
          <w:color w:val="000000"/>
          <w:sz w:val="20"/>
          <w:szCs w:val="20"/>
        </w:rPr>
      </w:pPr>
      <w:proofErr w:type="gramStart"/>
      <w:r w:rsidRPr="00402B99">
        <w:rPr>
          <w:rFonts w:ascii="Plus Jakarta Sans" w:hAnsi="Plus Jakarta Sans"/>
          <w:color w:val="000000"/>
          <w:sz w:val="20"/>
          <w:szCs w:val="20"/>
        </w:rPr>
        <w:t>à</w:t>
      </w:r>
      <w:proofErr w:type="gramEnd"/>
      <w:r w:rsidRPr="00402B99">
        <w:rPr>
          <w:rFonts w:ascii="Plus Jakarta Sans" w:hAnsi="Plus Jakarta Sans"/>
          <w:color w:val="000000"/>
          <w:sz w:val="20"/>
          <w:szCs w:val="20"/>
        </w:rPr>
        <w:t xml:space="preserve"> distance.</w:t>
      </w:r>
    </w:p>
    <w:p w14:paraId="204DE6C6" w14:textId="77777777" w:rsidR="00637D01" w:rsidRDefault="00637D01">
      <w:pPr>
        <w:spacing w:line="360" w:lineRule="auto"/>
        <w:rPr>
          <w:color w:val="000000"/>
        </w:rPr>
      </w:pPr>
    </w:p>
    <w:sectPr w:rsidR="00637D01" w:rsidSect="004E1699">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9D2C" w14:textId="77777777" w:rsidR="00A3068D" w:rsidRDefault="00A3068D">
      <w:pPr>
        <w:spacing w:line="240" w:lineRule="auto"/>
      </w:pPr>
      <w:r>
        <w:separator/>
      </w:r>
    </w:p>
  </w:endnote>
  <w:endnote w:type="continuationSeparator" w:id="0">
    <w:p w14:paraId="3A4F97D9" w14:textId="77777777" w:rsidR="00A3068D" w:rsidRDefault="00A306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ora">
    <w:panose1 w:val="00000000000000000000"/>
    <w:charset w:val="00"/>
    <w:family w:val="auto"/>
    <w:pitch w:val="variable"/>
    <w:sig w:usb0="A000006F" w:usb1="5000004B" w:usb2="00010000" w:usb3="00000000" w:csb0="00000093" w:csb1="00000000"/>
    <w:embedRegular r:id="rId1" w:fontKey="{C2A4CEB0-A164-4F96-BCF6-21A513C4D250}"/>
    <w:embedBold r:id="rId2" w:fontKey="{A37FDBE0-335E-418E-AAEB-DCBD51415CA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7FDAEB03-481E-428E-A071-963690BD53D4}"/>
  </w:font>
  <w:font w:name="Cambria">
    <w:panose1 w:val="02040503050406030204"/>
    <w:charset w:val="00"/>
    <w:family w:val="roman"/>
    <w:pitch w:val="variable"/>
    <w:sig w:usb0="E00006FF" w:usb1="420024FF" w:usb2="02000000" w:usb3="00000000" w:csb0="0000019F" w:csb1="00000000"/>
    <w:embedRegular r:id="rId4" w:fontKey="{4FB884EA-CE21-4BBB-B60A-6FBDABB6F1DC}"/>
  </w:font>
  <w:font w:name="Plus Jakarta Sans">
    <w:panose1 w:val="00000000000000000000"/>
    <w:charset w:val="00"/>
    <w:family w:val="auto"/>
    <w:pitch w:val="variable"/>
    <w:sig w:usb0="A10000FF" w:usb1="4000607B" w:usb2="00000000" w:usb3="00000000" w:csb0="00000193" w:csb1="00000000"/>
    <w:embedRegular r:id="rId5" w:fontKey="{5D417D9D-7ECE-4208-AB5D-0F04C3CDDB11}"/>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A196" w14:textId="77777777" w:rsidR="00561580" w:rsidRDefault="0056158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AC5E" w14:textId="77777777" w:rsidR="00561580" w:rsidRDefault="00000000">
    <w:pPr>
      <w:pBdr>
        <w:top w:val="nil"/>
        <w:left w:val="nil"/>
        <w:bottom w:val="nil"/>
        <w:right w:val="nil"/>
        <w:between w:val="nil"/>
      </w:pBdr>
      <w:tabs>
        <w:tab w:val="center" w:pos="4680"/>
        <w:tab w:val="right" w:pos="9360"/>
      </w:tabs>
      <w:spacing w:line="240" w:lineRule="auto"/>
      <w:jc w:val="center"/>
      <w:rPr>
        <w:rFonts w:ascii="Montserrat" w:eastAsia="Montserrat" w:hAnsi="Montserrat" w:cs="Montserrat"/>
        <w:color w:val="696969"/>
        <w:sz w:val="18"/>
        <w:szCs w:val="18"/>
      </w:rPr>
    </w:pPr>
    <w:r>
      <w:rPr>
        <w:color w:val="000000"/>
      </w:rPr>
      <w:t xml:space="preserve"> </w:t>
    </w:r>
  </w:p>
  <w:p w14:paraId="318A5895" w14:textId="29BA8E89" w:rsidR="00561580" w:rsidRDefault="00000000">
    <w:pPr>
      <w:pBdr>
        <w:top w:val="nil"/>
        <w:left w:val="nil"/>
        <w:bottom w:val="nil"/>
        <w:right w:val="nil"/>
        <w:between w:val="nil"/>
      </w:pBdr>
      <w:tabs>
        <w:tab w:val="center" w:pos="4680"/>
        <w:tab w:val="right" w:pos="9360"/>
      </w:tabs>
      <w:spacing w:line="240" w:lineRule="auto"/>
      <w:rPr>
        <w:color w:val="000000"/>
      </w:rPr>
    </w:pPr>
    <w:r>
      <w:rPr>
        <w:rFonts w:ascii="Montserrat" w:eastAsia="Montserrat" w:hAnsi="Montserrat" w:cs="Montserrat"/>
        <w:color w:val="696969"/>
        <w:sz w:val="18"/>
        <w:szCs w:val="18"/>
      </w:rPr>
      <w:t> Copyright © 202</w:t>
    </w:r>
    <w:r w:rsidR="004E1699">
      <w:rPr>
        <w:rFonts w:ascii="Montserrat" w:eastAsia="Montserrat" w:hAnsi="Montserrat" w:cs="Montserrat"/>
        <w:color w:val="696969"/>
        <w:sz w:val="18"/>
        <w:szCs w:val="18"/>
      </w:rPr>
      <w:t>6</w:t>
    </w:r>
    <w:r>
      <w:rPr>
        <w:rFonts w:ascii="Montserrat" w:eastAsia="Montserrat" w:hAnsi="Montserrat" w:cs="Montserrat"/>
        <w:color w:val="696969"/>
        <w:sz w:val="18"/>
        <w:szCs w:val="18"/>
      </w:rPr>
      <w:t xml:space="preserve"> SmartD Technologies, Inc. Tous droits réservés.  | Révision : </w:t>
    </w:r>
    <w:r w:rsidR="004E1699">
      <w:rPr>
        <w:rFonts w:ascii="Montserrat" w:eastAsia="Montserrat" w:hAnsi="Montserrat" w:cs="Montserrat"/>
        <w:color w:val="696969"/>
        <w:sz w:val="18"/>
        <w:szCs w:val="18"/>
      </w:rPr>
      <w:t>2026 07 22</w:t>
    </w:r>
    <w:r>
      <w:rPr>
        <w:rFonts w:ascii="Montserrat" w:eastAsia="Montserrat" w:hAnsi="Montserrat" w:cs="Montserrat"/>
        <w:color w:val="696969"/>
        <w:sz w:val="18"/>
        <w:szCs w:val="18"/>
      </w:rPr>
      <w:t xml:space="preserve"> | </w:t>
    </w: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C9129F">
      <w:rPr>
        <w:b/>
        <w:noProof/>
        <w:color w:val="000000"/>
        <w:sz w:val="24"/>
        <w:szCs w:val="24"/>
      </w:rPr>
      <w:t>1</w:t>
    </w:r>
    <w:r>
      <w:rPr>
        <w:b/>
        <w:color w:val="000000"/>
        <w:sz w:val="24"/>
        <w:szCs w:val="24"/>
      </w:rPr>
      <w:fldChar w:fldCharType="end"/>
    </w:r>
    <w:r>
      <w:rPr>
        <w:color w:val="000000"/>
      </w:rPr>
      <w:t xml:space="preserve"> sur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C9129F">
      <w:rPr>
        <w:b/>
        <w:noProof/>
        <w:color w:val="000000"/>
        <w:sz w:val="24"/>
        <w:szCs w:val="24"/>
      </w:rPr>
      <w:t>2</w:t>
    </w:r>
    <w:r>
      <w:rPr>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5EAE" w14:textId="77777777" w:rsidR="00561580" w:rsidRDefault="0056158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0757" w14:textId="77777777" w:rsidR="00A3068D" w:rsidRDefault="00A3068D">
      <w:pPr>
        <w:spacing w:line="240" w:lineRule="auto"/>
      </w:pPr>
      <w:r>
        <w:separator/>
      </w:r>
    </w:p>
  </w:footnote>
  <w:footnote w:type="continuationSeparator" w:id="0">
    <w:p w14:paraId="33582CEC" w14:textId="77777777" w:rsidR="00A3068D" w:rsidRDefault="00A306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B2FC" w14:textId="77777777" w:rsidR="00561580" w:rsidRDefault="0056158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FF7C" w14:textId="3D431A29" w:rsidR="00EE7749" w:rsidRPr="00EE7749" w:rsidRDefault="00EE7749" w:rsidP="004E1699">
    <w:pPr>
      <w:tabs>
        <w:tab w:val="left" w:pos="2526"/>
      </w:tabs>
      <w:spacing w:line="240" w:lineRule="auto"/>
      <w:rPr>
        <w:rFonts w:ascii="Plus Jakarta Sans" w:hAnsi="Plus Jakarta Sans"/>
        <w:sz w:val="18"/>
        <w:szCs w:val="18"/>
      </w:rPr>
    </w:pPr>
    <w:r>
      <w:rPr>
        <w:noProof/>
      </w:rPr>
      <w:drawing>
        <wp:inline distT="0" distB="0" distL="0" distR="0" wp14:anchorId="3FF1E5FD" wp14:editId="05FCB19C">
          <wp:extent cx="2075932" cy="243840"/>
          <wp:effectExtent l="0" t="0" r="635" b="3810"/>
          <wp:docPr id="1310439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39998" name="Picture 1310439998"/>
                  <pic:cNvPicPr/>
                </pic:nvPicPr>
                <pic:blipFill>
                  <a:blip r:embed="rId1">
                    <a:extLst>
                      <a:ext uri="{28A0092B-C50C-407E-A947-70E740481C1C}">
                        <a14:useLocalDpi xmlns:a14="http://schemas.microsoft.com/office/drawing/2010/main" val="0"/>
                      </a:ext>
                    </a:extLst>
                  </a:blip>
                  <a:stretch>
                    <a:fillRect/>
                  </a:stretch>
                </pic:blipFill>
                <pic:spPr>
                  <a:xfrm>
                    <a:off x="0" y="0"/>
                    <a:ext cx="2089488" cy="245432"/>
                  </a:xfrm>
                  <a:prstGeom prst="rect">
                    <a:avLst/>
                  </a:prstGeom>
                </pic:spPr>
              </pic:pic>
            </a:graphicData>
          </a:graphic>
        </wp:inline>
      </w:drawing>
    </w:r>
    <w:r w:rsidR="004E1699">
      <w:rPr>
        <w:rFonts w:ascii="Plus Jakarta Sans" w:hAnsi="Plus Jakarta Sans"/>
        <w:sz w:val="18"/>
        <w:szCs w:val="18"/>
      </w:rPr>
      <w:tab/>
    </w:r>
    <w:r w:rsidR="004E1699">
      <w:rPr>
        <w:rFonts w:ascii="Plus Jakarta Sans" w:hAnsi="Plus Jakarta Sans"/>
        <w:sz w:val="18"/>
        <w:szCs w:val="18"/>
      </w:rPr>
      <w:tab/>
    </w:r>
    <w:r w:rsidR="004E1699">
      <w:rPr>
        <w:rFonts w:ascii="Plus Jakarta Sans" w:hAnsi="Plus Jakarta Sans"/>
        <w:sz w:val="18"/>
        <w:szCs w:val="18"/>
      </w:rPr>
      <w:tab/>
    </w:r>
    <w:r w:rsidR="004E1699">
      <w:rPr>
        <w:rFonts w:ascii="Plus Jakarta Sans" w:hAnsi="Plus Jakarta Sans"/>
        <w:sz w:val="18"/>
        <w:szCs w:val="18"/>
      </w:rPr>
      <w:tab/>
    </w:r>
    <w:r w:rsidR="004E1699">
      <w:rPr>
        <w:rFonts w:ascii="Plus Jakarta Sans" w:hAnsi="Plus Jakarta Sans"/>
        <w:sz w:val="18"/>
        <w:szCs w:val="18"/>
      </w:rPr>
      <w:tab/>
    </w:r>
    <w:r w:rsidR="004E1699">
      <w:rPr>
        <w:rFonts w:ascii="Plus Jakarta Sans" w:hAnsi="Plus Jakarta Sans"/>
        <w:sz w:val="18"/>
        <w:szCs w:val="18"/>
      </w:rPr>
      <w:tab/>
    </w:r>
    <w:r w:rsidR="004E1699" w:rsidRPr="00EE7749">
      <w:rPr>
        <w:rFonts w:ascii="Plus Jakarta Sans" w:hAnsi="Plus Jakarta Sans"/>
        <w:sz w:val="18"/>
        <w:szCs w:val="18"/>
      </w:rPr>
      <w:t>SmartD Technologies Inc.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3743" w14:textId="7814ED17" w:rsidR="004E1699" w:rsidRPr="00EE7749" w:rsidRDefault="004E1699" w:rsidP="004E1699">
    <w:pPr>
      <w:tabs>
        <w:tab w:val="left" w:pos="2526"/>
      </w:tabs>
      <w:spacing w:line="240" w:lineRule="auto"/>
      <w:rPr>
        <w:rFonts w:ascii="Plus Jakarta Sans" w:hAnsi="Plus Jakarta Sans"/>
        <w:sz w:val="18"/>
        <w:szCs w:val="18"/>
      </w:rPr>
    </w:pPr>
    <w:r>
      <w:rPr>
        <w:noProof/>
      </w:rPr>
      <w:drawing>
        <wp:inline distT="0" distB="0" distL="0" distR="0" wp14:anchorId="6FF1E056" wp14:editId="2D382699">
          <wp:extent cx="2075932" cy="243840"/>
          <wp:effectExtent l="0" t="0" r="635" b="3810"/>
          <wp:docPr id="1028809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39998" name="Picture 1310439998"/>
                  <pic:cNvPicPr/>
                </pic:nvPicPr>
                <pic:blipFill>
                  <a:blip r:embed="rId1">
                    <a:extLst>
                      <a:ext uri="{28A0092B-C50C-407E-A947-70E740481C1C}">
                        <a14:useLocalDpi xmlns:a14="http://schemas.microsoft.com/office/drawing/2010/main" val="0"/>
                      </a:ext>
                    </a:extLst>
                  </a:blip>
                  <a:stretch>
                    <a:fillRect/>
                  </a:stretch>
                </pic:blipFill>
                <pic:spPr>
                  <a:xfrm>
                    <a:off x="0" y="0"/>
                    <a:ext cx="2089488" cy="245432"/>
                  </a:xfrm>
                  <a:prstGeom prst="rect">
                    <a:avLst/>
                  </a:prstGeom>
                </pic:spPr>
              </pic:pic>
            </a:graphicData>
          </a:graphic>
        </wp:inline>
      </w:drawing>
    </w:r>
    <w:r w:rsidRPr="00EA0E72">
      <w:rPr>
        <w:color w:val="000000"/>
        <w:lang w:val="fr-FR"/>
      </w:rPr>
      <w:tab/>
    </w:r>
    <w:r w:rsidRPr="00EA0E72">
      <w:rPr>
        <w:color w:val="000000"/>
        <w:lang w:val="fr-FR"/>
      </w:rPr>
      <w:tab/>
    </w:r>
    <w:r w:rsidRPr="00EA0E72">
      <w:rPr>
        <w:color w:val="000000"/>
        <w:lang w:val="fr-FR"/>
      </w:rPr>
      <w:tab/>
    </w:r>
    <w:r w:rsidRPr="00EE7749">
      <w:rPr>
        <w:rFonts w:ascii="Plus Jakarta Sans" w:hAnsi="Plus Jakarta Sans"/>
        <w:sz w:val="18"/>
        <w:szCs w:val="18"/>
      </w:rPr>
      <w:t>SmartD Technologies Inc.</w:t>
    </w:r>
  </w:p>
  <w:p w14:paraId="72000072" w14:textId="77777777" w:rsidR="004E1699" w:rsidRPr="00EE7749" w:rsidRDefault="004E1699" w:rsidP="004E1699">
    <w:pPr>
      <w:spacing w:line="240" w:lineRule="auto"/>
      <w:rPr>
        <w:rFonts w:ascii="Plus Jakarta Sans" w:hAnsi="Plus Jakarta Sans"/>
        <w:sz w:val="18"/>
        <w:szCs w:val="18"/>
      </w:rPr>
    </w:pP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t>425, rue Guy, bureau 210</w:t>
    </w:r>
  </w:p>
  <w:p w14:paraId="051DFFF7" w14:textId="77777777" w:rsidR="004E1699" w:rsidRPr="00EE7749" w:rsidRDefault="004E1699" w:rsidP="004E1699">
    <w:pPr>
      <w:spacing w:line="240" w:lineRule="auto"/>
      <w:rPr>
        <w:rFonts w:ascii="Plus Jakarta Sans" w:hAnsi="Plus Jakarta Sans"/>
        <w:sz w:val="18"/>
        <w:szCs w:val="18"/>
      </w:rPr>
    </w:pP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t>Montréal (Québec) H3J 1S9, Canada</w:t>
    </w:r>
  </w:p>
  <w:p w14:paraId="6AF16598" w14:textId="77777777" w:rsidR="004E1699" w:rsidRPr="00EE7749" w:rsidRDefault="004E1699" w:rsidP="004E1699">
    <w:pPr>
      <w:spacing w:line="240" w:lineRule="auto"/>
      <w:rPr>
        <w:rFonts w:ascii="Plus Jakarta Sans" w:hAnsi="Plus Jakarta Sans"/>
        <w:sz w:val="18"/>
        <w:szCs w:val="18"/>
      </w:rPr>
    </w:pPr>
  </w:p>
  <w:p w14:paraId="49D36145" w14:textId="77777777" w:rsidR="004E1699" w:rsidRPr="00EE7749" w:rsidRDefault="004E1699" w:rsidP="004E1699">
    <w:pPr>
      <w:spacing w:line="240" w:lineRule="auto"/>
      <w:rPr>
        <w:rFonts w:ascii="Plus Jakarta Sans" w:hAnsi="Plus Jakarta Sans"/>
        <w:sz w:val="18"/>
        <w:szCs w:val="18"/>
      </w:rPr>
    </w:pP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t>866 776 2783</w:t>
    </w:r>
  </w:p>
  <w:p w14:paraId="5EC2FDD6" w14:textId="55D88BB5" w:rsidR="00561580" w:rsidRPr="004E1699" w:rsidRDefault="004E1699" w:rsidP="004E1699">
    <w:pPr>
      <w:spacing w:line="240" w:lineRule="auto"/>
      <w:rPr>
        <w:rFonts w:ascii="Plus Jakarta Sans" w:hAnsi="Plus Jakarta Sans"/>
        <w:sz w:val="18"/>
        <w:szCs w:val="18"/>
      </w:rPr>
    </w:pP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r>
    <w:r w:rsidRPr="00EE7749">
      <w:rPr>
        <w:rFonts w:ascii="Plus Jakarta Sans" w:hAnsi="Plus Jakarta Sans"/>
        <w:sz w:val="18"/>
        <w:szCs w:val="18"/>
      </w:rPr>
      <w:tab/>
      <w:t>Smartd.tech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E503F"/>
    <w:multiLevelType w:val="multilevel"/>
    <w:tmpl w:val="7BAE3FB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769356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80"/>
    <w:rsid w:val="00007861"/>
    <w:rsid w:val="000653A8"/>
    <w:rsid w:val="00071F26"/>
    <w:rsid w:val="000B0B42"/>
    <w:rsid w:val="00107043"/>
    <w:rsid w:val="00190D0E"/>
    <w:rsid w:val="001C70A8"/>
    <w:rsid w:val="00213AC3"/>
    <w:rsid w:val="00250D58"/>
    <w:rsid w:val="00307A04"/>
    <w:rsid w:val="003575F7"/>
    <w:rsid w:val="003D20DE"/>
    <w:rsid w:val="003F3D01"/>
    <w:rsid w:val="00402B99"/>
    <w:rsid w:val="0042569A"/>
    <w:rsid w:val="0042650D"/>
    <w:rsid w:val="00430B15"/>
    <w:rsid w:val="00485125"/>
    <w:rsid w:val="004D62A4"/>
    <w:rsid w:val="004E1699"/>
    <w:rsid w:val="004F504B"/>
    <w:rsid w:val="00520DFF"/>
    <w:rsid w:val="00554D42"/>
    <w:rsid w:val="00561580"/>
    <w:rsid w:val="005944F4"/>
    <w:rsid w:val="005A5152"/>
    <w:rsid w:val="005B05FF"/>
    <w:rsid w:val="00611AFF"/>
    <w:rsid w:val="006148D8"/>
    <w:rsid w:val="00637D01"/>
    <w:rsid w:val="00724808"/>
    <w:rsid w:val="0078475B"/>
    <w:rsid w:val="007B257E"/>
    <w:rsid w:val="00804AE7"/>
    <w:rsid w:val="008474CC"/>
    <w:rsid w:val="0085762E"/>
    <w:rsid w:val="008B513F"/>
    <w:rsid w:val="00981B15"/>
    <w:rsid w:val="009C78AE"/>
    <w:rsid w:val="009D3C9C"/>
    <w:rsid w:val="00A3068D"/>
    <w:rsid w:val="00A74CB0"/>
    <w:rsid w:val="00A8433B"/>
    <w:rsid w:val="00B17044"/>
    <w:rsid w:val="00BB55DF"/>
    <w:rsid w:val="00C402A4"/>
    <w:rsid w:val="00C9129F"/>
    <w:rsid w:val="00C923E4"/>
    <w:rsid w:val="00C96C5C"/>
    <w:rsid w:val="00CB36B0"/>
    <w:rsid w:val="00CF4138"/>
    <w:rsid w:val="00EA0461"/>
    <w:rsid w:val="00EA0E72"/>
    <w:rsid w:val="00ED0043"/>
    <w:rsid w:val="00EE4D04"/>
    <w:rsid w:val="00EE7749"/>
    <w:rsid w:val="00F00C75"/>
    <w:rsid w:val="00F25E77"/>
    <w:rsid w:val="00F9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FB003"/>
  <w15:docId w15:val="{806C6CAB-8C5D-4E4C-A47F-96793C18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A" w:eastAsia="fr-CA" w:bidi="fr-C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rsid w:val="00554D42"/>
    <w:pPr>
      <w:keepNext/>
      <w:keepLines/>
      <w:spacing w:before="360" w:after="120"/>
      <w:outlineLvl w:val="1"/>
    </w:pPr>
    <w:rPr>
      <w:rFonts w:ascii="Sora" w:hAnsi="Sora" w:cs="Sora"/>
      <w:b/>
      <w:color w:val="4FDA6E"/>
      <w:sz w:val="32"/>
      <w:szCs w:val="32"/>
    </w:rPr>
  </w:style>
  <w:style w:type="paragraph" w:styleId="Heading3">
    <w:name w:val="heading 3"/>
    <w:basedOn w:val="Normal"/>
    <w:next w:val="Normal"/>
    <w:uiPriority w:val="9"/>
    <w:unhideWhenUsed/>
    <w:qFormat/>
    <w:rsid w:val="00190D0E"/>
    <w:pPr>
      <w:keepNext/>
      <w:keepLines/>
      <w:spacing w:before="320" w:after="80"/>
      <w:outlineLvl w:val="2"/>
    </w:pPr>
    <w:rPr>
      <w:rFonts w:ascii="Sora" w:hAnsi="Sora" w:cs="Sora"/>
      <w:color w:val="4FDA6E"/>
      <w:sz w:val="28"/>
      <w:szCs w:val="28"/>
    </w:rPr>
  </w:style>
  <w:style w:type="paragraph" w:styleId="Heading4">
    <w:name w:val="heading 4"/>
    <w:basedOn w:val="Normal"/>
    <w:next w:val="Normal"/>
    <w:uiPriority w:val="9"/>
    <w:unhideWhenUsed/>
    <w:qFormat/>
    <w:rsid w:val="00190D0E"/>
    <w:pPr>
      <w:keepNext/>
      <w:keepLines/>
      <w:spacing w:before="280" w:after="80"/>
      <w:outlineLvl w:val="3"/>
    </w:pPr>
    <w:rPr>
      <w:rFonts w:ascii="Sora" w:hAnsi="Sora" w:cs="Sora"/>
      <w:color w:val="4FDA6E"/>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4E1699"/>
    <w:pPr>
      <w:keepNext/>
      <w:keepLines/>
      <w:spacing w:after="60"/>
    </w:pPr>
    <w:rPr>
      <w:rFonts w:ascii="Sora" w:hAnsi="Sora" w:cs="Sora"/>
      <w:b/>
      <w:bCs/>
      <w:sz w:val="44"/>
      <w:szCs w:val="44"/>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47AB1"/>
    <w:pPr>
      <w:tabs>
        <w:tab w:val="center" w:pos="4680"/>
        <w:tab w:val="right" w:pos="9360"/>
      </w:tabs>
      <w:spacing w:line="240" w:lineRule="auto"/>
    </w:pPr>
  </w:style>
  <w:style w:type="character" w:customStyle="1" w:styleId="HeaderChar">
    <w:name w:val="Header Char"/>
    <w:basedOn w:val="DefaultParagraphFont"/>
    <w:link w:val="Header"/>
    <w:uiPriority w:val="99"/>
    <w:rsid w:val="00F47AB1"/>
  </w:style>
  <w:style w:type="paragraph" w:styleId="Footer">
    <w:name w:val="footer"/>
    <w:basedOn w:val="Normal"/>
    <w:link w:val="FooterChar"/>
    <w:uiPriority w:val="99"/>
    <w:unhideWhenUsed/>
    <w:rsid w:val="00F47AB1"/>
    <w:pPr>
      <w:tabs>
        <w:tab w:val="center" w:pos="4680"/>
        <w:tab w:val="right" w:pos="9360"/>
      </w:tabs>
      <w:spacing w:line="240" w:lineRule="auto"/>
    </w:pPr>
  </w:style>
  <w:style w:type="character" w:customStyle="1" w:styleId="FooterChar">
    <w:name w:val="Footer Char"/>
    <w:basedOn w:val="DefaultParagraphFont"/>
    <w:link w:val="Footer"/>
    <w:uiPriority w:val="99"/>
    <w:rsid w:val="00F47AB1"/>
  </w:style>
  <w:style w:type="paragraph" w:styleId="ListParagraph">
    <w:name w:val="List Paragraph"/>
    <w:basedOn w:val="Normal"/>
    <w:uiPriority w:val="34"/>
    <w:qFormat/>
    <w:rsid w:val="00121A48"/>
    <w:pPr>
      <w:ind w:left="720"/>
      <w:contextualSpacing/>
    </w:pPr>
  </w:style>
  <w:style w:type="character" w:customStyle="1" w:styleId="fabric-text-color-mark">
    <w:name w:val="fabric-text-color-mark"/>
    <w:basedOn w:val="DefaultParagraphFont"/>
    <w:rsid w:val="00C813D2"/>
  </w:style>
  <w:style w:type="paragraph" w:styleId="TOCHeading">
    <w:name w:val="TOC Heading"/>
    <w:basedOn w:val="Heading1"/>
    <w:next w:val="Normal"/>
    <w:uiPriority w:val="39"/>
    <w:unhideWhenUsed/>
    <w:qFormat/>
    <w:rsid w:val="00052277"/>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TOC2">
    <w:name w:val="toc 2"/>
    <w:basedOn w:val="TOC1"/>
    <w:next w:val="Normal"/>
    <w:autoRedefine/>
    <w:uiPriority w:val="39"/>
    <w:unhideWhenUsed/>
    <w:rsid w:val="004D62A4"/>
  </w:style>
  <w:style w:type="paragraph" w:styleId="TOC1">
    <w:name w:val="toc 1"/>
    <w:basedOn w:val="TOC3"/>
    <w:next w:val="Normal"/>
    <w:autoRedefine/>
    <w:uiPriority w:val="39"/>
    <w:unhideWhenUsed/>
    <w:rsid w:val="004D62A4"/>
  </w:style>
  <w:style w:type="paragraph" w:styleId="TOC3">
    <w:name w:val="toc 3"/>
    <w:basedOn w:val="Normal"/>
    <w:next w:val="Normal"/>
    <w:autoRedefine/>
    <w:uiPriority w:val="39"/>
    <w:unhideWhenUsed/>
    <w:rsid w:val="004D62A4"/>
    <w:pPr>
      <w:tabs>
        <w:tab w:val="right" w:leader="dot" w:pos="10070"/>
      </w:tabs>
      <w:spacing w:after="100" w:line="259" w:lineRule="auto"/>
      <w:ind w:left="440"/>
    </w:pPr>
    <w:rPr>
      <w:rFonts w:asciiTheme="minorHAnsi" w:eastAsiaTheme="minorEastAsia" w:hAnsiTheme="minorHAnsi" w:cs="Times New Roman"/>
    </w:rPr>
  </w:style>
  <w:style w:type="character" w:styleId="Hyperlink">
    <w:name w:val="Hyperlink"/>
    <w:basedOn w:val="DefaultParagraphFont"/>
    <w:uiPriority w:val="99"/>
    <w:unhideWhenUsed/>
    <w:rsid w:val="004D62A4"/>
    <w:rPr>
      <w:rFonts w:ascii="Plus Jakarta Sans" w:hAnsi="Plus Jakarta Sans"/>
      <w:noProof/>
      <w:color w:val="0000FF" w:themeColor="hyperlink"/>
      <w:sz w:val="20"/>
      <w:szCs w:val="20"/>
      <w:u w:val="single"/>
    </w:rPr>
  </w:style>
  <w:style w:type="paragraph" w:styleId="TOC4">
    <w:name w:val="toc 4"/>
    <w:basedOn w:val="Normal"/>
    <w:next w:val="Normal"/>
    <w:autoRedefine/>
    <w:uiPriority w:val="39"/>
    <w:unhideWhenUsed/>
    <w:rsid w:val="0014201F"/>
    <w:pPr>
      <w:spacing w:after="100"/>
      <w:ind w:left="660"/>
    </w:pPr>
  </w:style>
  <w:style w:type="paragraph" w:styleId="Revision">
    <w:name w:val="Revision"/>
    <w:hidden/>
    <w:uiPriority w:val="99"/>
    <w:semiHidden/>
    <w:rsid w:val="00637D0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WsiYMHUCGRlPhiGKuhTAdqwU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Z1FkREhwWWJraEltU2dsUWcya3RrY0tLYkQ5OVJ3cHc=</go:docsCustomData>
</go:gDocsCustomXmlDataStorage>
</file>

<file path=customXml/itemProps1.xml><?xml version="1.0" encoding="utf-8"?>
<ds:datastoreItem xmlns:ds="http://schemas.openxmlformats.org/officeDocument/2006/customXml" ds:itemID="{5FB39049-7D33-4D5D-B8E7-4610EFE9D94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17</Pages>
  <Words>4911</Words>
  <Characters>25984</Characters>
  <Application>Microsoft Office Word</Application>
  <DocSecurity>0</DocSecurity>
  <Lines>519</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SmartD Clean Power VFD - Spécifications pour ingénierie-conseil</dc:title>
  <dc:subject>Spécifications techniques en français du SmartD Clean Power VFD</dc:subject>
  <dc:creator>damien herwegh</dc:creator>
  <cp:lastModifiedBy>damien herwegh</cp:lastModifiedBy>
  <cp:revision>21</cp:revision>
  <dcterms:created xsi:type="dcterms:W3CDTF">2026-07-22T12:51:00Z</dcterms:created>
  <dcterms:modified xsi:type="dcterms:W3CDTF">2026-07-22T15:47:00Z</dcterms:modified>
</cp:coreProperties>
</file>